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electric-field-lines-teacher-guide"/>
    <w:p>
      <w:pPr>
        <w:pStyle w:val="Heading1"/>
      </w:pPr>
      <w:r>
        <w:t xml:space="preserve">Electric Field Lines — Teacher Guide</w:t>
      </w:r>
    </w:p>
    <w:bookmarkStart w:id="9" w:name="cover"/>
    <w:p>
      <w:pPr>
        <w:pStyle w:val="Heading2"/>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10"/>
    <w:bookmarkStart w:id="13" w:name="phenomenon"/>
    <w:p>
      <w:pPr>
        <w:pStyle w:val="Heading3"/>
      </w:pPr>
      <w:r>
        <w:t xml:space="preserve">Phenomenon</w:t>
      </w:r>
    </w:p>
    <w:p>
      <w:pPr>
        <w:pStyle w:val="Compact"/>
        <w:numPr>
          <w:ilvl w:val="0"/>
          <w:numId w:val="1001"/>
        </w:numPr>
      </w:pPr>
      <w:r>
        <w:t xml:space="preserve">Semolina grains (or grass seed) in oil line up along the field of charged electrodes (classic field-mapping demo):</w:t>
      </w:r>
      <w:r>
        <w:t xml:space="preserve"> </w:t>
      </w:r>
      <w:hyperlink r:id="rId11">
        <w:r>
          <w:rPr>
            <w:rStyle w:val="Hyperlink"/>
          </w:rPr>
          <w:t xml:space="preserve">https://www.youtube.com/watch?v=field+lines+semolina+oil</w:t>
        </w:r>
      </w:hyperlink>
    </w:p>
    <w:p>
      <w:pPr>
        <w:pStyle w:val="Compact"/>
        <w:numPr>
          <w:ilvl w:val="0"/>
          <w:numId w:val="1001"/>
        </w:numPr>
      </w:pPr>
      <w:r>
        <w:t xml:space="preserve">Iron-filings analogy for visualizing an invisible field (Veritasium):</w:t>
      </w:r>
      <w:r>
        <w:t xml:space="preserve"> </w:t>
      </w:r>
      <w:hyperlink r:id="rId12">
        <w:r>
          <w:rPr>
            <w:rStyle w:val="Hyperlink"/>
          </w:rPr>
          <w:t xml:space="preserve">https://www.youtube.com/watch?v=field+lines+visualization</w:t>
        </w:r>
      </w:hyperlink>
    </w:p>
    <w:bookmarkEnd w:id="13"/>
    <w:bookmarkStart w:id="16" w:name="javalab-labs"/>
    <w:p>
      <w:pPr>
        <w:pStyle w:val="Heading3"/>
      </w:pPr>
      <w:r>
        <w:t xml:space="preserve">Javalab / Labs</w:t>
      </w:r>
    </w:p>
    <w:p>
      <w:pPr>
        <w:pStyle w:val="Compact"/>
        <w:numPr>
          <w:ilvl w:val="0"/>
          <w:numId w:val="1002"/>
        </w:numPr>
      </w:pPr>
      <w:r>
        <w:t xml:space="preserve">Electric field line (single charge, dipole, plates):</w:t>
      </w:r>
      <w:r>
        <w:t xml:space="preserve"> </w:t>
      </w:r>
      <w:hyperlink r:id="rId14">
        <w:r>
          <w:rPr>
            <w:rStyle w:val="Hyperlink"/>
          </w:rPr>
          <w:t xml:space="preserve">https://javalab.org/en/electric_field_line_en/</w:t>
        </w:r>
      </w:hyperlink>
    </w:p>
    <w:p>
      <w:pPr>
        <w:pStyle w:val="Compact"/>
        <w:numPr>
          <w:ilvl w:val="0"/>
          <w:numId w:val="1002"/>
        </w:numPr>
      </w:pPr>
      <w:r>
        <w:t xml:space="preserve">Electric field of point charges (Javalab):</w:t>
      </w:r>
      <w:r>
        <w:t xml:space="preserve"> </w:t>
      </w:r>
      <w:hyperlink r:id="rId15">
        <w:r>
          <w:rPr>
            <w:rStyle w:val="Hyperlink"/>
          </w:rPr>
          <w:t xml:space="preserve">https://javalab.org/en/electric_field_en/</w:t>
        </w:r>
      </w:hyperlink>
    </w:p>
    <w:bookmarkEnd w:id="16"/>
    <w:bookmarkStart w:id="17" w:name="assessments"/>
    <w:p>
      <w:pPr>
        <w:pStyle w:val="Heading3"/>
      </w:pPr>
      <w:r>
        <w:t xml:space="preserve">Assessments</w:t>
      </w:r>
    </w:p>
    <w:p>
      <w:pPr>
        <w:pStyle w:val="Compact"/>
        <w:numPr>
          <w:ilvl w:val="0"/>
          <w:numId w:val="1003"/>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004"/>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004"/>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004"/>
        </w:numPr>
      </w:pPr>
      <w:r>
        <w:t xml:space="preserve">Read field strength from line spacing (closer lines = stronger field).</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20"/>
    <w:bookmarkStart w:id="21" w:name="X9fccc2b5200789e8e332297d0548db1c69e2318"/>
    <w:p>
      <w:pPr>
        <w:pStyle w:val="Heading3"/>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005"/>
        </w:numPr>
      </w:pPr>
      <w:r>
        <w:t xml:space="preserve">“They go from one electrode to the other.”</w:t>
      </w:r>
      <w:r>
        <w:t xml:space="preserve"> </w:t>
      </w:r>
      <w:r>
        <w:t xml:space="preserve">— capture: lines connect + to −.</w:t>
      </w:r>
    </w:p>
    <w:p>
      <w:pPr>
        <w:pStyle w:val="Compact"/>
        <w:numPr>
          <w:ilvl w:val="0"/>
          <w:numId w:val="1005"/>
        </w:numPr>
      </w:pPr>
      <w:r>
        <w:t xml:space="preserve">“They’re closer together near the points.”</w:t>
      </w:r>
      <w:r>
        <w:t xml:space="preserve"> </w:t>
      </w:r>
      <w:r>
        <w:t xml:space="preserve">— gold: density shows strength.</w:t>
      </w:r>
    </w:p>
    <w:p>
      <w:pPr>
        <w:pStyle w:val="Compact"/>
        <w:numPr>
          <w:ilvl w:val="0"/>
          <w:numId w:val="1005"/>
        </w:numPr>
      </w:pPr>
      <w:r>
        <w:t xml:space="preserve">“They never seem to cross.”</w:t>
      </w:r>
      <w:r>
        <w:t xml:space="preserve"> </w:t>
      </w:r>
      <w:r>
        <w:t xml:space="preserve">— excellent; this is one of the core rules.</w:t>
      </w:r>
    </w:p>
    <w:bookmarkEnd w:id="21"/>
    <w:bookmarkStart w:id="22" w:name="min-notice-wonder-turn-and-talk-1"/>
    <w:p>
      <w:pPr>
        <w:pStyle w:val="Heading3"/>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23"/>
    <w:bookmarkEnd w:id="24"/>
    <w:bookmarkStart w:id="37" w:name="phase-2-explore-10-28-min"/>
    <w:p>
      <w:pPr>
        <w:pStyle w:val="Heading2"/>
      </w:pPr>
      <w:r>
        <w:t xml:space="preserve">Phase 2 · Explore</w:t>
      </w:r>
      <w:r>
        <w:t xml:space="preserve"> </w:t>
      </w:r>
      <w:r>
        <w:rPr>
          <w:i/>
          <w:iCs/>
        </w:rPr>
        <w:t xml:space="preserve">(10 – 28 min)</w:t>
      </w:r>
    </w:p>
    <w:bookmarkStart w:id="25" w:name="min-initial-model-silent-individual"/>
    <w:p>
      <w:pPr>
        <w:pStyle w:val="Heading3"/>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25"/>
    <w:bookmarkStart w:id="35" w:name="X067540677211e268a74d22c30ce9d5aa5d358a2"/>
    <w:p>
      <w:pPr>
        <w:pStyle w:val="Heading3"/>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006"/>
        </w:numPr>
      </w:pPr>
      <w:r>
        <w:rPr>
          <w:b/>
          <w:bCs/>
        </w:rPr>
        <w:t xml:space="preserve">Single + charge</w:t>
      </w:r>
      <w:r>
        <w:t xml:space="preserve"> </w:t>
      </w:r>
      <w:r>
        <w:t xml:space="preserve">— lines leave straight out in all directions; density falls with distance.</w:t>
      </w:r>
    </w:p>
    <w:p>
      <w:pPr>
        <w:pStyle w:val="Compact"/>
        <w:numPr>
          <w:ilvl w:val="0"/>
          <w:numId w:val="1006"/>
        </w:numPr>
      </w:pPr>
      <w:r>
        <w:rPr>
          <w:b/>
          <w:bCs/>
        </w:rPr>
        <w:t xml:space="preserve">Dipole (+ and −)</w:t>
      </w:r>
      <w:r>
        <w:t xml:space="preserve"> </w:t>
      </w:r>
      <w:r>
        <w:t xml:space="preserve">— lines curve from the + to the −, never crossing.</w:t>
      </w:r>
    </w:p>
    <w:p>
      <w:pPr>
        <w:pStyle w:val="Compact"/>
        <w:numPr>
          <w:ilvl w:val="0"/>
          <w:numId w:val="1006"/>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27" name="Picture"/>
            <a:graphic>
              <a:graphicData uri="http://schemas.openxmlformats.org/drawingml/2006/picture">
                <pic:pic>
                  <pic:nvPicPr>
                    <pic:cNvPr descr="figures/field_lines_single.png" id="28" name="Picture"/>
                    <pic:cNvPicPr>
                      <a:picLocks noChangeArrowheads="1" noChangeAspect="1"/>
                    </pic:cNvPicPr>
                  </pic:nvPicPr>
                  <pic:blipFill>
                    <a:blip r:embed="rId26"/>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30" name="Picture"/>
            <a:graphic>
              <a:graphicData uri="http://schemas.openxmlformats.org/drawingml/2006/picture">
                <pic:pic>
                  <pic:nvPicPr>
                    <pic:cNvPr descr="figures/field_lines_dipole.png" id="31" name="Picture"/>
                    <pic:cNvPicPr>
                      <a:picLocks noChangeArrowheads="1" noChangeAspect="1"/>
                    </pic:cNvPicPr>
                  </pic:nvPicPr>
                  <pic:blipFill>
                    <a:blip r:embed="rId29"/>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33" name="Picture"/>
            <a:graphic>
              <a:graphicData uri="http://schemas.openxmlformats.org/drawingml/2006/picture">
                <pic:pic>
                  <pic:nvPicPr>
                    <pic:cNvPr descr="figures/field_lines_parallel_plates.png" id="34" name="Picture"/>
                    <pic:cNvPicPr>
                      <a:picLocks noChangeArrowheads="1" noChangeAspect="1"/>
                    </pic:cNvPicPr>
                  </pic:nvPicPr>
                  <pic:blipFill>
                    <a:blip r:embed="rId32"/>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35"/>
    <w:bookmarkStart w:id="36"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pairs articulating start-on-+, end-on-−, never-cross, and density-shows-strength from the sim.</w:t>
      </w:r>
    </w:p>
    <w:p>
      <w:pPr>
        <w:pStyle w:val="Compact"/>
        <w:numPr>
          <w:ilvl w:val="0"/>
          <w:numId w:val="1007"/>
        </w:numPr>
      </w:pPr>
      <w:r>
        <w:rPr>
          <w:b/>
          <w:bCs/>
        </w:rPr>
        <w:t xml:space="preserve">What to resist</w:t>
      </w:r>
      <w:r>
        <w:t xml:space="preserve"> </w:t>
      </w:r>
      <w:r>
        <w:t xml:space="preserve">— don’t list the rules first; let the three patterns reveal them.</w:t>
      </w:r>
    </w:p>
    <w:p>
      <w:pPr>
        <w:pStyle w:val="Compact"/>
        <w:numPr>
          <w:ilvl w:val="0"/>
          <w:numId w:val="1007"/>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36"/>
    <w:bookmarkEnd w:id="37"/>
    <w:bookmarkStart w:id="42" w:name="phase-3-explain-28-36-min"/>
    <w:p>
      <w:pPr>
        <w:pStyle w:val="Heading2"/>
      </w:pPr>
      <w:r>
        <w:t xml:space="preserve">Phase 3 · Explain</w:t>
      </w:r>
      <w:r>
        <w:t xml:space="preserve"> </w:t>
      </w:r>
      <w:r>
        <w:rPr>
          <w:i/>
          <w:iCs/>
        </w:rPr>
        <w:t xml:space="preserve">(28 – 36 min)</w:t>
      </w:r>
    </w:p>
    <w:bookmarkStart w:id="38" w:name="min-turn-and-talk-2-class-consensus"/>
    <w:p>
      <w:pPr>
        <w:pStyle w:val="Heading3"/>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38"/>
    <w:bookmarkStart w:id="39" w:name="min-vocabulary-introduction-3-terms"/>
    <w:p>
      <w:pPr>
        <w:pStyle w:val="Heading3"/>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39"/>
    <w:bookmarkStart w:id="40" w:name="min-hochman-sentence-work"/>
    <w:p>
      <w:pPr>
        <w:pStyle w:val="Heading3"/>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40"/>
    <w:bookmarkStart w:id="41" w:name="discussion-prompts-to-deploy-here"/>
    <w:p>
      <w:pPr>
        <w:pStyle w:val="Heading3"/>
      </w:pPr>
      <w:r>
        <w:t xml:space="preserve">Discussion prompts to deploy here</w:t>
      </w:r>
    </w:p>
    <w:p>
      <w:pPr>
        <w:pStyle w:val="Compact"/>
        <w:numPr>
          <w:ilvl w:val="0"/>
          <w:numId w:val="1008"/>
        </w:numPr>
      </w:pPr>
      <w:r>
        <w:t xml:space="preserve">“Why can’t two field lines ever cross?”</w:t>
      </w:r>
    </w:p>
    <w:p>
      <w:pPr>
        <w:pStyle w:val="Compact"/>
        <w:numPr>
          <w:ilvl w:val="1"/>
          <w:numId w:val="1009"/>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008"/>
        </w:numPr>
      </w:pPr>
      <w:r>
        <w:t xml:space="preserve">“How is the field between parallel plates different from the field around a single charge?”</w:t>
      </w:r>
    </w:p>
    <w:p>
      <w:pPr>
        <w:pStyle w:val="Compact"/>
        <w:numPr>
          <w:ilvl w:val="1"/>
          <w:numId w:val="1010"/>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41"/>
    <w:bookmarkEnd w:id="42"/>
    <w:bookmarkStart w:id="45" w:name="phase-4-elaborate-36-40-min"/>
    <w:p>
      <w:pPr>
        <w:pStyle w:val="Heading2"/>
      </w:pPr>
      <w:r>
        <w:t xml:space="preserve">Phase 4 · Elaborate</w:t>
      </w:r>
      <w:r>
        <w:t xml:space="preserve"> </w:t>
      </w:r>
      <w:r>
        <w:rPr>
          <w:i/>
          <w:iCs/>
        </w:rPr>
        <w:t xml:space="preserve">(36 – 40 min)</w:t>
      </w:r>
    </w:p>
    <w:bookmarkStart w:id="43" w:name="min-revise-the-model"/>
    <w:p>
      <w:pPr>
        <w:pStyle w:val="Heading3"/>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43"/>
    <w:bookmarkStart w:id="44" w:name="min-return-to-the-phenomenon"/>
    <w:p>
      <w:pPr>
        <w:pStyle w:val="Heading3"/>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44"/>
    <w:bookmarkEnd w:id="45"/>
    <w:bookmarkStart w:id="47" w:name="phase-5-evaluate-40-42-min"/>
    <w:p>
      <w:pPr>
        <w:pStyle w:val="Heading2"/>
      </w:pPr>
      <w:r>
        <w:t xml:space="preserve">Phase 5 · Evaluate</w:t>
      </w:r>
      <w:r>
        <w:t xml:space="preserve"> </w:t>
      </w:r>
      <w:r>
        <w:rPr>
          <w:i/>
          <w:iCs/>
        </w:rPr>
        <w:t xml:space="preserve">(40 – 42 min)</w:t>
      </w:r>
    </w:p>
    <w:bookmarkStart w:id="46" w:name="min-exit-ticket-closing-reflection"/>
    <w:p>
      <w:pPr>
        <w:pStyle w:val="Heading3"/>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46"/>
    <w:bookmarkEnd w:id="47"/>
    <w:bookmarkStart w:id="4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011"/>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011"/>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48"/>
    <w:bookmarkStart w:id="4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012"/>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012"/>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49"/>
    <w:bookmarkStart w:id="50" w:name="strategy-spotlight"/>
    <w:p>
      <w:pPr>
        <w:pStyle w:val="Heading2"/>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50"/>
    <w:bookmarkStart w:id="5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51"/>
    <w:bookmarkStart w:id="5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the rules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2"/>
    <w:bookmarkStart w:id="53" w:name="key-vocabulary-max-3"/>
    <w:p>
      <w:pPr>
        <w:pStyle w:val="Heading2"/>
      </w:pPr>
      <w:r>
        <w:t xml:space="preserve">Key Vocabulary (max 3)</w:t>
      </w:r>
    </w:p>
    <w:p>
      <w:pPr>
        <w:pStyle w:val="Compact"/>
        <w:numPr>
          <w:ilvl w:val="0"/>
          <w:numId w:val="1014"/>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014"/>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014"/>
        </w:numPr>
      </w:pPr>
      <w:r>
        <w:rPr>
          <w:b/>
          <w:bCs/>
        </w:rPr>
        <w:t xml:space="preserve">uniform field</w:t>
      </w:r>
      <w:r>
        <w:t xml:space="preserve"> </w:t>
      </w:r>
      <w:r>
        <w:t xml:space="preserve">— a field of constant strength and direction, shown by straight, evenly spaced field lines (as between parallel plates)</w:t>
      </w:r>
    </w:p>
    <w:bookmarkEnd w:id="53"/>
    <w:bookmarkEnd w:id="5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field_en/" TargetMode="External" /><Relationship Type="http://schemas.openxmlformats.org/officeDocument/2006/relationships/hyperlink" Id="rId14" Target="https://javalab.org/en/electric_field_line_en/" TargetMode="External" /><Relationship Type="http://schemas.openxmlformats.org/officeDocument/2006/relationships/hyperlink" Id="rId11" Target="https://www.youtube.com/watch?v=field+lines+semolina+oil" TargetMode="External" /><Relationship Type="http://schemas.openxmlformats.org/officeDocument/2006/relationships/hyperlink" Id="rId12" Target="https://www.youtube.com/watch?v=field+lines+visual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2026-06-01T15:55:25Z</dcterms:created>
  <dcterms:modified xsi:type="dcterms:W3CDTF">2026-06-01T15:55:25Z</dcterms:modified>
</cp:coreProperties>
</file>

<file path=docProps/custom.xml><?xml version="1.0" encoding="utf-8"?>
<Properties xmlns="http://schemas.openxmlformats.org/officeDocument/2006/custom-properties" xmlns:vt="http://schemas.openxmlformats.org/officeDocument/2006/docPropsVTypes"/>
</file>