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bc6e0ab06ddd3aee5794a7791e76436ed42360"/>
    <w:p>
      <w:pPr>
        <w:pStyle w:val="Heading1"/>
      </w:pPr>
      <w:r>
        <w:t xml:space="preserve">Electromagnetism: The Induction Junction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 · NYS Required Investigation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forms around the coil; the coil is now acting like a magnet —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magnetic field AND electromagnet.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induced current.</w:t>
      </w:r>
      <w:r>
        <w:t xml:space="preserve"> </w:t>
      </w:r>
      <w:r>
        <w:t xml:space="preserve">A current is induced only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a still magnet’s field is steady (not changing), so nothing is induced.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“no”</w:t>
      </w:r>
      <w:r>
        <w:t xml:space="preserve"> </w:t>
      </w:r>
      <w:r>
        <w:t xml:space="preserve">AND explains via unchanging field. · NYSSLS: HS-PS3-5</w:t>
      </w:r>
    </w:p>
    <w:p>
      <w:pPr>
        <w:pStyle w:val="Compact"/>
        <w:numPr>
          <w:ilvl w:val="0"/>
          <w:numId w:val="1001"/>
        </w:numPr>
      </w:pPr>
      <w:r>
        <w:t xml:space="preserve">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(the muscular work of cranking): cranking spins a magnet near a coil, the changing field induces a current by electromagnetic induction, and that current lights the bulb.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energy from motion AND links via induction.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It 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around the coil — the coil becomes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— the magnetic field is not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generator</w:t>
      </w:r>
      <w:r>
        <w:t xml:space="preserve"> </w:t>
      </w:r>
      <w:r>
        <w:t xml:space="preserve">(or dynamo / wind turbine / hand-crank flashlight). 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that keeps the magnetic field changing through the coil — mechanical energy is converted to electrical energy.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magnetic field / electromagnet; (b)</w:t>
      </w:r>
      <w:r>
        <w:t xml:space="preserve"> </w:t>
      </w:r>
      <w:r>
        <w:t xml:space="preserve">“no”</w:t>
      </w:r>
      <w:r>
        <w:t xml:space="preserve"> </w:t>
      </w:r>
      <w:r>
        <w:t xml:space="preserve">with the unchanging-field reason; (c) any induction generator named AND energy traced to motion.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any real place induction operates (phone chargers, generators, hand-crank/shake devices, microphones, card readers) — the goal is transfer of the model, not a single right answer.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2026-06-01T15:55:28Z</dcterms:created>
  <dcterms:modified xsi:type="dcterms:W3CDTF">2026-06-01T15:55:28Z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