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20d9cf1c40463723f12e8c594b7c0ba51375cb7"/>
    <w:p>
      <w:pPr>
        <w:pStyle w:val="Heading1"/>
      </w:pPr>
      <w:r>
        <w:t xml:space="preserve">Precipitation — Soluble vs. Insoluble in Aqueous Solution — Teacher Guide</w:t>
      </w:r>
    </w:p>
    <w:bookmarkStart w:id="9" w:name="cover"/>
    <w:p>
      <w:pPr>
        <w:pStyle w:val="Heading2"/>
      </w:pPr>
      <w:r>
        <w:t xml:space="preserve">Cover</w:t>
      </w:r>
    </w:p>
    <w:p>
      <w:pPr>
        <w:pStyle w:val="FirstParagraph"/>
      </w:pPr>
      <w:r>
        <w:rPr>
          <w:b/>
          <w:bCs/>
        </w:rPr>
        <w:t xml:space="preserve">Unit: Solutions — Lesson 02: Precipitation</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is a</w:t>
      </w:r>
      <w:r>
        <w:t xml:space="preserve"> </w:t>
      </w:r>
      <w:r>
        <w:rPr>
          <w:b/>
          <w:bCs/>
        </w:rPr>
        <w:t xml:space="preserve">foundational skill</w:t>
      </w:r>
      <w:r>
        <w:t xml:space="preserve"> </w:t>
      </w:r>
      <w:r>
        <w:t xml:space="preserve">that supports the Solutions unit: students learn to distinguish soluble from insoluble compounds in an aqueous solution and to predict when a solid (precipitate) will form. The featured Science and Engineering Practice is</w:t>
      </w:r>
      <w:r>
        <w:t xml:space="preserve"> </w:t>
      </w:r>
      <w:r>
        <w:rPr>
          <w:b/>
          <w:bCs/>
        </w:rPr>
        <w:t xml:space="preserve">SEP-2 (Developing and Using Models)</w:t>
      </w:r>
      <w:r>
        <w:t xml:space="preserve"> </w:t>
      </w:r>
      <w:r>
        <w:t xml:space="preserve">— students build and revise a particle-level model that shows free ions in solution combining into an insoluble solid lattice. The featured Cross-Cutting Concept is</w:t>
      </w:r>
      <w:r>
        <w:t xml:space="preserve"> </w:t>
      </w:r>
      <w:r>
        <w:rPr>
          <w:b/>
          <w:bCs/>
        </w:rPr>
        <w:t xml:space="preserve">Patterns</w:t>
      </w:r>
      <w:r>
        <w:t xml:space="preserve">: the question of</w:t>
      </w:r>
      <w:r>
        <w:t xml:space="preserve"> </w:t>
      </w:r>
      <w:r>
        <w:rPr>
          <w:i/>
          <w:iCs/>
        </w:rPr>
        <w:t xml:space="preserve">which</w:t>
      </w:r>
      <w:r>
        <w:t xml:space="preserve"> </w:t>
      </w:r>
      <w:r>
        <w:t xml:space="preserve">ion pairs precipitate is not random; it follows a predictable solubility pattern that students read from a solubility-guidelines table (Reference Table F in the NYS Chemistry Reference Tables) rather than memorize case by case.</w:t>
      </w:r>
    </w:p>
    <w:p>
      <w:pPr>
        <w:pStyle w:val="BodyText"/>
      </w:pPr>
      <w:r>
        <w:t xml:space="preserve">This precipitation skill is the prerequisite for the unit’s later work on solubility curves (Reference Table G), saturation, and double-replacement reactions. Per East Meadow guidance, students must be fluent at reading a reference table to predict an outcome — exactly the skill the unit’s</w:t>
      </w:r>
      <w:r>
        <w:t xml:space="preserve"> </w:t>
      </w:r>
      <w:r>
        <w:rPr>
          <w:i/>
          <w:iCs/>
        </w:rPr>
        <w:t xml:space="preserve">Reference Table interpretation quiz</w:t>
      </w:r>
      <w:r>
        <w:t xml:space="preserve"> </w:t>
      </w:r>
      <w:r>
        <w:t xml:space="preserve">assesses — before they quantify solution concentration. No content performance expectation is assigned to this single lesson; it establishes the modeling-and-pattern-reading routine the rest of the unit depends on.</w:t>
      </w:r>
    </w:p>
    <w:bookmarkEnd w:id="10"/>
    <w:bookmarkStart w:id="11" w:name="phenomenon"/>
    <w:p>
      <w:pPr>
        <w:pStyle w:val="Heading3"/>
      </w:pPr>
      <w:r>
        <w:t xml:space="preserve">Phenomenon</w:t>
      </w:r>
    </w:p>
    <w:p>
      <w:pPr>
        <w:pStyle w:val="FirstParagraph"/>
      </w:pPr>
      <w:r>
        <w:t xml:space="preserve">Two beakers of clear, colorless liquid sit on the demonstration table. One is potassium iodide solution (KI, colorless). One is lead(II) nitrate solution (Pb(NO₃)₂, colorless). Neither looks like anything special — both look like water. Pour them together and, instantly, the mixture turns a brilliant cloudy yellow as a solid rains down through the liquid. Nothing was heated. Nothing was added but the second clear liquid. Where did the solid come from? Two see-through liquids became an opaque yellow suspension in less than a second.</w:t>
      </w:r>
    </w:p>
    <w:p>
      <w:pPr>
        <w:pStyle w:val="BodyText"/>
      </w:pPr>
      <w:r>
        <w:t xml:space="preserve">Then run the contrast: pour potassium iodide into sodium nitrate solution (NaNO₃, colorless). Mix — and nothing happens. It stays clear. Same kind of action, completely different outcome. The solid appears in one combination and not the other. The driving question writes itself: which combinations make a solid, and how could we predict that</w:t>
      </w:r>
      <w:r>
        <w:t xml:space="preserve"> </w:t>
      </w:r>
      <w:r>
        <w:rPr>
          <w:i/>
          <w:iCs/>
        </w:rPr>
        <w:t xml:space="preserve">before</w:t>
      </w:r>
      <w:r>
        <w:t xml:space="preserve"> </w:t>
      </w:r>
      <w:r>
        <w:t xml:space="preserve">we pour?</w:t>
      </w:r>
    </w:p>
    <w:p>
      <w:pPr>
        <w:pStyle w:val="BodyText"/>
      </w:pPr>
      <w:r>
        <w:rPr>
          <w:b/>
          <w:bCs/>
        </w:rPr>
        <w:t xml:space="preserve">Driving question:</w:t>
      </w:r>
      <w:r>
        <w:t xml:space="preserve"> </w:t>
      </w:r>
      <w:r>
        <w:t xml:space="preserve">Why do solids form when only certain ionic solutions are mixed?</w:t>
      </w:r>
    </w:p>
    <w:bookmarkEnd w:id="11"/>
    <w:bookmarkStart w:id="12" w:name="javalab-labs"/>
    <w:p>
      <w:pPr>
        <w:pStyle w:val="Heading3"/>
      </w:pPr>
      <w:r>
        <w:t xml:space="preserve">Javalab / Labs</w:t>
      </w:r>
    </w:p>
    <w:p>
      <w:pPr>
        <w:pStyle w:val="Compact"/>
        <w:numPr>
          <w:ilvl w:val="0"/>
          <w:numId w:val="1001"/>
        </w:numPr>
      </w:pPr>
      <w:r>
        <w:rPr>
          <w:b/>
          <w:bCs/>
        </w:rPr>
        <w:t xml:space="preserve">Precipitation Reaction — Javalab</w:t>
      </w:r>
      <w:r>
        <w:t xml:space="preserve"> </w:t>
      </w:r>
      <w:r>
        <w:t xml:space="preserve">(</w:t>
      </w:r>
      <w:r>
        <w:rPr>
          <w:rStyle w:val="VerbatimChar"/>
        </w:rPr>
        <w:t xml:space="preserve">javalab.org</w:t>
      </w:r>
      <w:r>
        <w:t xml:space="preserve">,</w:t>
      </w:r>
      <w:r>
        <w:t xml:space="preserve"> </w:t>
      </w:r>
      <w:r>
        <w:t xml:space="preserve">“Precipitation reaction”</w:t>
      </w:r>
      <w:r>
        <w:t xml:space="preserve"> </w:t>
      </w:r>
      <w:r>
        <w:t xml:space="preserve">simulation): students drag cation and anion solutions together on screen and watch which pairings produce a solid and which stay clear. Because it is a simulation, students can run many combinations quickly and safely — far more than a wet lab allows in 42 minutes. They record each pairing as</w:t>
      </w:r>
      <w:r>
        <w:t xml:space="preserve"> </w:t>
      </w:r>
      <w:r>
        <w:t xml:space="preserve">“precipitate”</w:t>
      </w:r>
      <w:r>
        <w:t xml:space="preserve"> </w:t>
      </w:r>
      <w:r>
        <w:t xml:space="preserve">or</w:t>
      </w:r>
      <w:r>
        <w:t xml:space="preserve"> </w:t>
      </w:r>
      <w:r>
        <w:t xml:space="preserve">“no precipitate”</w:t>
      </w:r>
      <w:r>
        <w:t xml:space="preserve"> </w:t>
      </w:r>
      <w:r>
        <w:t xml:space="preserve">and look for the pattern. No reagents, no waste, no goggles required for the digital portion.</w:t>
      </w:r>
    </w:p>
    <w:p>
      <w:pPr>
        <w:pStyle w:val="Compact"/>
        <w:numPr>
          <w:ilvl w:val="0"/>
          <w:numId w:val="1001"/>
        </w:numPr>
      </w:pPr>
      <w:r>
        <w:rPr>
          <w:b/>
          <w:bCs/>
        </w:rPr>
        <w:t xml:space="preserve">Optional teacher demonstration (wet):</w:t>
      </w:r>
      <w:r>
        <w:t xml:space="preserve"> </w:t>
      </w:r>
      <w:r>
        <w:t xml:space="preserve">the lead(II) iodide</w:t>
      </w:r>
      <w:r>
        <w:t xml:space="preserve"> </w:t>
      </w:r>
      <w:r>
        <w:t xml:space="preserve">“golden rain”</w:t>
      </w:r>
      <w:r>
        <w:t xml:space="preserve"> </w:t>
      </w:r>
      <w:r>
        <w:t xml:space="preserve">demo — Pb(NO₃)₂(aq) + 2 KI(aq) → PbI₂(s, yellow) + 2 KNO₃(aq). Lead compounds are toxic; this is a</w:t>
      </w:r>
      <w:r>
        <w:t xml:space="preserve"> </w:t>
      </w:r>
      <w:r>
        <w:rPr>
          <w:i/>
          <w:iCs/>
        </w:rPr>
        <w:t xml:space="preserve">teacher-only</w:t>
      </w:r>
      <w:r>
        <w:t xml:space="preserve"> </w:t>
      </w:r>
      <w:r>
        <w:t xml:space="preserve">demo behind a barrier, with gloves and goggles, and the waste is collected for hazardous disposal — never a student hands-on. A safer student-run wet alternative is mixing calcium chloride with sodium carbonate to make white CaCO₃(s).</w:t>
      </w:r>
    </w:p>
    <w:p>
      <w:pPr>
        <w:pStyle w:val="Compact"/>
        <w:numPr>
          <w:ilvl w:val="0"/>
          <w:numId w:val="1001"/>
        </w:numPr>
      </w:pPr>
      <w:r>
        <w:rPr>
          <w:b/>
          <w:bCs/>
        </w:rPr>
        <w:t xml:space="preserve">Particle-model build:</w:t>
      </w:r>
      <w:r>
        <w:t xml:space="preserve"> </w:t>
      </w:r>
      <w:r>
        <w:t xml:space="preserve">students sketch the before/after particle diagram (see</w:t>
      </w:r>
      <w:r>
        <w:t xml:space="preserve"> </w:t>
      </w:r>
      <w:r>
        <w:rPr>
          <w:rStyle w:val="VerbatimChar"/>
        </w:rPr>
        <w:t xml:space="preserve">figures/precipitation_particle_model.png</w:t>
      </w:r>
      <w:r>
        <w:t xml:space="preserve">) to explain</w:t>
      </w:r>
      <w:r>
        <w:t xml:space="preserve"> </w:t>
      </w:r>
      <w:r>
        <w:rPr>
          <w:i/>
          <w:iCs/>
        </w:rPr>
        <w:t xml:space="preserve">where</w:t>
      </w:r>
      <w:r>
        <w:t xml:space="preserve"> </w:t>
      </w:r>
      <w:r>
        <w:t xml:space="preserve">the solid comes from — the reacting ions, not new atoms.</w:t>
      </w:r>
    </w:p>
    <w:bookmarkEnd w:id="12"/>
    <w:bookmarkStart w:id="13" w:name="assessments"/>
    <w:p>
      <w:pPr>
        <w:pStyle w:val="Heading3"/>
      </w:pPr>
      <w:r>
        <w:t xml:space="preserve">Assessments</w:t>
      </w:r>
    </w:p>
    <w:p>
      <w:pPr>
        <w:pStyle w:val="Compact"/>
        <w:numPr>
          <w:ilvl w:val="0"/>
          <w:numId w:val="1002"/>
        </w:numPr>
      </w:pPr>
      <w:r>
        <w:rPr>
          <w:b/>
          <w:bCs/>
        </w:rPr>
        <w:t xml:space="preserve">Reference Table interpretation quiz</w:t>
      </w:r>
      <w:r>
        <w:t xml:space="preserve"> </w:t>
      </w:r>
      <w:r>
        <w:t xml:space="preserve">(district checkpoint, following lesson): students read a solubility-guidelines table to classify a list of compounds as soluble or insoluble, predict whether a precipitate forms when two named solutions are mixed, and read a value off the Table G solubility curve in</w:t>
      </w:r>
      <w:r>
        <w:t xml:space="preserve"> </w:t>
      </w:r>
      <w:r>
        <w:rPr>
          <w:rStyle w:val="VerbatimChar"/>
        </w:rPr>
        <w:t xml:space="preserve">figures/solubility_curves.png</w:t>
      </w:r>
      <w:r>
        <w:t xml:space="preserve">. This is the unit’s signature skill —</w:t>
      </w:r>
      <w:r>
        <w:t xml:space="preserve"> </w:t>
      </w:r>
      <w:r>
        <w:rPr>
          <w:i/>
          <w:iCs/>
        </w:rPr>
        <w:t xml:space="preserve">use the table, don’t memorize the answer</w:t>
      </w:r>
      <w:r>
        <w:t xml:space="preserve">.</w:t>
      </w:r>
    </w:p>
    <w:p>
      <w:pPr>
        <w:pStyle w:val="Compact"/>
        <w:numPr>
          <w:ilvl w:val="0"/>
          <w:numId w:val="1002"/>
        </w:numPr>
      </w:pPr>
      <w:r>
        <w:rPr>
          <w:b/>
          <w:bCs/>
        </w:rPr>
        <w:t xml:space="preserve">Exit Ticket</w:t>
      </w:r>
      <w:r>
        <w:t xml:space="preserve"> </w:t>
      </w:r>
      <w:r>
        <w:t xml:space="preserve">(Phase 5): three items — classify two compounds using the rules, predict the precipitate from a named pair of solutions, and read one solubility value from the Table G curve. See</w:t>
      </w:r>
      <w:r>
        <w:t xml:space="preserve"> </w:t>
      </w:r>
      <w:r>
        <w:rPr>
          <w:rStyle w:val="VerbatimChar"/>
        </w:rPr>
        <w:t xml:space="preserve">Answer_Key.docx</w:t>
      </w:r>
      <w:r>
        <w:t xml:space="preserve">. The Exit Ticket uses different compounds than the worksheet practice so it tests transfer, not recall.</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SEP-2 (Developing and Using Models) + CCC Patterns — foundational skill; no single content PE</w:t>
            </w:r>
          </w:p>
        </w:tc>
      </w:tr>
      <w:tr>
        <w:tc>
          <w:tcPr/>
          <w:p>
            <w:pPr>
              <w:pStyle w:val="Compact"/>
            </w:pPr>
            <w:r>
              <w:rPr>
                <w:b/>
                <w:bCs/>
              </w:rPr>
              <w:t xml:space="preserve">CCC focus</w:t>
            </w:r>
          </w:p>
        </w:tc>
        <w:tc>
          <w:tcPr/>
          <w:p>
            <w:pPr>
              <w:pStyle w:val="Compact"/>
            </w:pPr>
            <w:r>
              <w:t xml:space="preserve">Patterns — whether two solutions form a precipitate is predictable from solubility rules; the same rules apply to every cation–anion pairing, so one table replaces dozens of memorized cases</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precipitate</w:t>
            </w:r>
            <w:r>
              <w:t xml:space="preserve"> </w:t>
            </w:r>
            <w:r>
              <w:t xml:space="preserve">crisply; Because/But/So sentence in Phase 4</w:t>
            </w:r>
          </w:p>
        </w:tc>
      </w:tr>
      <w:tr>
        <w:tc>
          <w:tcPr/>
          <w:p>
            <w:pPr>
              <w:pStyle w:val="Compact"/>
            </w:pPr>
            <w:r>
              <w:rPr>
                <w:b/>
                <w:bCs/>
              </w:rPr>
              <w:t xml:space="preserve">Materials</w:t>
            </w:r>
          </w:p>
        </w:tc>
        <w:tc>
          <w:tcPr/>
          <w:p>
            <w:pPr>
              <w:pStyle w:val="Compact"/>
            </w:pPr>
            <w:r>
              <w:t xml:space="preserve">Devices with the Javalab</w:t>
            </w:r>
            <w:r>
              <w:t xml:space="preserve"> </w:t>
            </w:r>
            <w:r>
              <w:t xml:space="preserve">“Precipitation reaction”</w:t>
            </w:r>
            <w:r>
              <w:t xml:space="preserve"> </w:t>
            </w:r>
            <w:r>
              <w:t xml:space="preserve">simulation, NYS Chemistry Reference Tables (solubility guidelines + Table G),</w:t>
            </w:r>
            <w:r>
              <w:t xml:space="preserve"> </w:t>
            </w:r>
            <w:r>
              <w:rPr>
                <w:rStyle w:val="VerbatimChar"/>
              </w:rPr>
              <w:t xml:space="preserve">figures/precipitation_particle_model.png</w:t>
            </w:r>
            <w:r>
              <w:t xml:space="preserve"> </w:t>
            </w:r>
            <w:r>
              <w:t xml:space="preserve">and</w:t>
            </w:r>
            <w:r>
              <w:t xml:space="preserve"> </w:t>
            </w:r>
            <w:r>
              <w:rPr>
                <w:rStyle w:val="VerbatimChar"/>
              </w:rPr>
              <w:t xml:space="preserve">figures/solubility_curves.png</w:t>
            </w:r>
            <w:r>
              <w:t xml:space="preserve"> </w:t>
            </w:r>
            <w:r>
              <w:t xml:space="preserve">projected, optional teacher demo reagents (Pb(NO₃)₂, KI) behind a barrier with gloves and goggles</w:t>
            </w:r>
          </w:p>
        </w:tc>
      </w:tr>
      <w:tr>
        <w:tc>
          <w:tcPr/>
          <w:p>
            <w:pPr>
              <w:pStyle w:val="Compact"/>
            </w:pPr>
            <w:r>
              <w:rPr>
                <w:b/>
                <w:bCs/>
              </w:rPr>
              <w:t xml:space="preserve">Safety</w:t>
            </w:r>
          </w:p>
        </w:tc>
        <w:tc>
          <w:tcPr/>
          <w:p>
            <w:pPr>
              <w:pStyle w:val="Compact"/>
            </w:pPr>
            <w:r>
              <w:t xml:space="preserve">The Javalab simulation is hazard-free. If the teacher runs the wet lead(II) iodide demo, it is teacher-only behind a barrier: lead compounds are toxic, gloves and goggles required, and all waste goes to hazardous-waste collection — never down the drain, never student-handled. The CaCO₃ alternative is student-safe.</w:t>
            </w:r>
          </w:p>
        </w:tc>
      </w:tr>
      <w:tr>
        <w:tc>
          <w:tcPr/>
          <w:p>
            <w:pPr>
              <w:pStyle w:val="Compact"/>
            </w:pPr>
            <w:r>
              <w:rPr>
                <w:b/>
                <w:bCs/>
              </w:rPr>
              <w:t xml:space="preserve">Prior knowledge</w:t>
            </w:r>
          </w:p>
        </w:tc>
        <w:tc>
          <w:tcPr/>
          <w:p>
            <w:pPr>
              <w:pStyle w:val="Compact"/>
            </w:pPr>
            <w:r>
              <w:t xml:space="preserve">Lesson 01 of this unit (dissolving — what</w:t>
            </w:r>
            <w:r>
              <w:t xml:space="preserve"> </w:t>
            </w:r>
            <w:r>
              <w:t xml:space="preserve">“aqueous”</w:t>
            </w:r>
            <w:r>
              <w:t xml:space="preserve"> </w:t>
            </w:r>
            <w:r>
              <w:t xml:space="preserve">and</w:t>
            </w:r>
            <w:r>
              <w:t xml:space="preserve"> </w:t>
            </w:r>
            <w:r>
              <w:t xml:space="preserve">“dissociation”</w:t>
            </w:r>
            <w:r>
              <w:t xml:space="preserve"> </w:t>
            </w:r>
            <w:r>
              <w:t xml:space="preserve">mean: an ionic compound that dissolves separates into free ions). Students should recognize ionic formulas and charges (e.g., Pb²⁺, I⁻, K⁺, NO₃⁻) and be able to locate a value on a reference table from earlier units.</w:t>
            </w:r>
          </w:p>
        </w:tc>
      </w:tr>
    </w:tbl>
    <w:p>
      <w:pPr>
        <w:pStyle w:val="BodyText"/>
      </w:pPr>
      <w:r>
        <w:rPr>
          <w:b/>
          <w:bCs/>
        </w:rPr>
        <w:t xml:space="preserve">Lesson objectives — students can:</w:t>
      </w:r>
    </w:p>
    <w:p>
      <w:pPr>
        <w:pStyle w:val="Compact"/>
        <w:numPr>
          <w:ilvl w:val="0"/>
          <w:numId w:val="1003"/>
        </w:numPr>
      </w:pPr>
      <w:r>
        <w:t xml:space="preserve">Use a solubility-guidelines table to classify an ionic compound as soluble or insoluble in water.</w:t>
      </w:r>
    </w:p>
    <w:p>
      <w:pPr>
        <w:pStyle w:val="Compact"/>
        <w:numPr>
          <w:ilvl w:val="0"/>
          <w:numId w:val="1003"/>
        </w:numPr>
      </w:pPr>
      <w:r>
        <w:t xml:space="preserve">Predict whether mixing two named aqueous solutions will form a precipitate, and identify which compound is the precipitate.</w:t>
      </w:r>
    </w:p>
    <w:p>
      <w:pPr>
        <w:pStyle w:val="Compact"/>
        <w:numPr>
          <w:ilvl w:val="0"/>
          <w:numId w:val="1003"/>
        </w:numPr>
      </w:pPr>
      <w:r>
        <w:t xml:space="preserve">Model, at the particle level, where a precipitate comes from: reacting ions leaving solution to form an insoluble solid, while spectator ions stay dissolved.</w:t>
      </w:r>
    </w:p>
    <w:p>
      <w:pPr>
        <w:pStyle w:val="Compact"/>
        <w:numPr>
          <w:ilvl w:val="0"/>
          <w:numId w:val="1003"/>
        </w:numPr>
      </w:pPr>
      <w:r>
        <w:t xml:space="preserve">Explain, using the Patterns CCC, why a solubility table lets you predict an outcome without memorizing every individual reaction.</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a time two ordinary things combined and the result surprised you — mixing two paints, two foods, two cleaning products. What happened?”</w:t>
      </w:r>
      <w:r>
        <w:t xml:space="preserve"> </w:t>
      </w:r>
      <w:r>
        <w:t xml:space="preserve">One round, one sentence each, no judgment. This surfaces the everyday intuition that combining two things can produce something neither one was alone — exactly the surprise of a precipitate appearing from two clear liquids.</w:t>
      </w:r>
    </w:p>
    <w:p>
      <w:pPr>
        <w:pStyle w:val="BodyText"/>
      </w:pPr>
      <w:r>
        <w:t xml:space="preserve">Then post the</w:t>
      </w:r>
      <w:r>
        <w:t xml:space="preserve"> </w:t>
      </w:r>
      <w:r>
        <w:rPr>
          <w:b/>
          <w:bCs/>
        </w:rPr>
        <w:t xml:space="preserve">Do Now</w:t>
      </w:r>
      <w:r>
        <w:t xml:space="preserve">:</w:t>
      </w:r>
    </w:p>
    <w:p>
      <w:pPr>
        <w:pStyle w:val="BlockText"/>
      </w:pPr>
      <w:r>
        <w:rPr>
          <w:i/>
          <w:iCs/>
        </w:rPr>
        <w:t xml:space="preserve">“Two beakers of clear, colorless liquid are on the desk — both look exactly like water. The teacher pours one into the other and a bright yellow solid instantly appears and sinks. Nothing was heated. In one sentence: where did the solid come from, if both liquids looked like plain water?”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“Something in the two liquids reacted to make a new solid.”</w:t>
      </w:r>
      <w:r>
        <w:t xml:space="preserve"> </w:t>
      </w:r>
      <w:r>
        <w:t xml:space="preserve">— affirm; ask: what was</w:t>
      </w:r>
      <w:r>
        <w:t xml:space="preserve"> </w:t>
      </w:r>
      <w:r>
        <w:rPr>
          <w:i/>
          <w:iCs/>
        </w:rPr>
        <w:t xml:space="preserve">in</w:t>
      </w:r>
      <w:r>
        <w:t xml:space="preserve"> </w:t>
      </w:r>
      <w:r>
        <w:t xml:space="preserve">the liquids if they looked clear? Hidden, dissolved particles.</w:t>
      </w:r>
    </w:p>
    <w:p>
      <w:pPr>
        <w:pStyle w:val="Compact"/>
        <w:numPr>
          <w:ilvl w:val="0"/>
          <w:numId w:val="1004"/>
        </w:numPr>
      </w:pPr>
      <w:r>
        <w:t xml:space="preserve">“One liquid had the solid in it already and it just came out.”</w:t>
      </w:r>
      <w:r>
        <w:t xml:space="preserve"> </w:t>
      </w:r>
      <w:r>
        <w:t xml:space="preserve">— interesting; probe: it was clear before mixing, so the solid wasn’t there yet — it</w:t>
      </w:r>
      <w:r>
        <w:t xml:space="preserve"> </w:t>
      </w:r>
      <w:r>
        <w:rPr>
          <w:i/>
          <w:iCs/>
        </w:rPr>
        <w:t xml:space="preserve">formed</w:t>
      </w:r>
      <w:r>
        <w:t xml:space="preserve"> </w:t>
      </w:r>
      <w:r>
        <w:t xml:space="preserve">when the two met.</w:t>
      </w:r>
    </w:p>
    <w:p>
      <w:pPr>
        <w:pStyle w:val="Compact"/>
        <w:numPr>
          <w:ilvl w:val="0"/>
          <w:numId w:val="1004"/>
        </w:numPr>
      </w:pPr>
      <w:r>
        <w:t xml:space="preserve">“I don’t know — water can’t turn into a solid by itself.”</w:t>
      </w:r>
      <w:r>
        <w:t xml:space="preserve"> </w:t>
      </w:r>
      <w:r>
        <w:t xml:space="preserve">— exactly the tension; validate: it isn’t the water, it’s what’s</w:t>
      </w:r>
      <w:r>
        <w:t xml:space="preserve"> </w:t>
      </w:r>
      <w:r>
        <w:rPr>
          <w:i/>
          <w:iCs/>
        </w:rPr>
        <w:t xml:space="preserve">dissolved</w:t>
      </w:r>
      <w:r>
        <w:t xml:space="preserve"> </w:t>
      </w:r>
      <w:r>
        <w:t xml:space="preserve">in the water that we can’t see.</w:t>
      </w:r>
    </w:p>
    <w:bookmarkEnd w:id="16"/>
    <w:bookmarkStart w:id="17" w:name="X05deb181ecc23f8e1d344360e0bf143afd07968"/>
    <w:p>
      <w:pPr>
        <w:pStyle w:val="Heading3"/>
      </w:pPr>
      <w:r>
        <w:t xml:space="preserve">3–8 min · Phenomenon hook — two clear liquids, one solid</w:t>
      </w:r>
    </w:p>
    <w:p>
      <w:pPr>
        <w:pStyle w:val="FirstParagraph"/>
      </w:pPr>
      <w:r>
        <w:rPr>
          <w:b/>
          <w:bCs/>
        </w:rPr>
        <w:t xml:space="preserve">Teacher actions.</w:t>
      </w:r>
      <w:r>
        <w:t xml:space="preserve"> </w:t>
      </w:r>
      <w:r>
        <w:t xml:space="preserve">Show (or describe vividly) the two clear solutions: potassium iodide, KI(aq), and lead(II) nitrate, Pb(NO₃)₂(aq). Both colorless, both look like water. Pour them together — instant bright yellow cloud of solid. Then the contrast: pour KI(aq) into sodium nitrate, NaNO₃(aq) — nothing happens, stays clear.</w:t>
      </w:r>
    </w:p>
    <w:p>
      <w:pPr>
        <w:pStyle w:val="BlockText"/>
      </w:pPr>
      <w:r>
        <w:t xml:space="preserve">“Same kind of action both times — pour one clear liquid into another. One time a solid rains down. The other time, nothing. The solid is real; you can filter it out and weigh it. So the question is: what makes the difference between the pour that forms a solid and the pour that does not?”</w:t>
      </w:r>
    </w:p>
    <w:p>
      <w:pPr>
        <w:pStyle w:val="FirstParagraph"/>
      </w:pPr>
      <w:r>
        <w:rPr>
          <w:b/>
          <w:bCs/>
        </w:rPr>
        <w:t xml:space="preserve">Sample teacher language:</w:t>
      </w:r>
    </w:p>
    <w:p>
      <w:pPr>
        <w:pStyle w:val="BlockText"/>
      </w:pPr>
      <w:r>
        <w:t xml:space="preserve">“When an ionic compound dissolves, it doesn’t disappear — it breaks into free ions swimming in the water. The KI solution is full of K⁺ and I⁻ ions. The lead nitrate solution is full of Pb²⁺ and NO₃⁻ ions. When we pour them together, all four kinds of ions are now in the same beaker, bumping into each other. The yellow solid is one specific pair — Pb²⁺ and I⁻ — locking together into a compound that</w:t>
      </w:r>
      <w:r>
        <w:t xml:space="preserve"> </w:t>
      </w:r>
      <w:r>
        <w:rPr>
          <w:i/>
          <w:iCs/>
        </w:rPr>
        <w:t xml:space="preserve">cannot</w:t>
      </w:r>
      <w:r>
        <w:t xml:space="preserve"> </w:t>
      </w:r>
      <w:r>
        <w:t xml:space="preserve">stay dissolved. That solid is the precipitate. The other two ions, K⁺ and NO₃⁻, just keep floating. Today we figure out how to predict which pair will lock up before we ever pour.”</w:t>
      </w:r>
    </w:p>
    <w:p>
      <w:pPr>
        <w:pStyle w:val="FirstParagraph"/>
      </w:pPr>
      <w:r>
        <w:rPr>
          <w:b/>
          <w:bCs/>
        </w:rPr>
        <w:t xml:space="preserve">Anticipated student responses:</w:t>
      </w:r>
    </w:p>
    <w:p>
      <w:pPr>
        <w:pStyle w:val="Compact"/>
        <w:numPr>
          <w:ilvl w:val="0"/>
          <w:numId w:val="1005"/>
        </w:numPr>
      </w:pPr>
      <w:r>
        <w:t xml:space="preserve">“So one combination</w:t>
      </w:r>
      <w:r>
        <w:t xml:space="preserve"> </w:t>
      </w:r>
      <w:r>
        <w:t xml:space="preserve">‘sticks’</w:t>
      </w:r>
      <w:r>
        <w:t xml:space="preserve"> </w:t>
      </w:r>
      <w:r>
        <w:t xml:space="preserve">and the other doesn’t?”</w:t>
      </w:r>
      <w:r>
        <w:t xml:space="preserve"> </w:t>
      </w:r>
      <w:r>
        <w:t xml:space="preserve">— exactly; some ion pairs form a solid that won’t dissolve, others stay dissolved. There is a rule for which is which.</w:t>
      </w:r>
    </w:p>
    <w:p>
      <w:pPr>
        <w:pStyle w:val="Compact"/>
        <w:numPr>
          <w:ilvl w:val="0"/>
          <w:numId w:val="1005"/>
        </w:numPr>
      </w:pPr>
      <w:r>
        <w:t xml:space="preserve">“How do you know it’s the lead and iodide that make the solid, not the potassium?”</w:t>
      </w:r>
      <w:r>
        <w:t xml:space="preserve"> </w:t>
      </w:r>
      <w:r>
        <w:t xml:space="preserve">— great question; we’ll model it and check it against a table that tells us iodides of lead are insoluble while potassium compounds stay dissolved.</w:t>
      </w:r>
    </w:p>
    <w:p>
      <w:pPr>
        <w:pStyle w:val="Compact"/>
        <w:numPr>
          <w:ilvl w:val="0"/>
          <w:numId w:val="1005"/>
        </w:numPr>
      </w:pPr>
      <w:r>
        <w:t xml:space="preserve">“Why is it yellow?”</w:t>
      </w:r>
      <w:r>
        <w:t xml:space="preserve"> </w:t>
      </w:r>
      <w:r>
        <w:t xml:space="preserve">— lead(II) iodide is a yellow solid; the color is a bonus clue that a new substance formed.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solids form when only certain ionic solutions are mixed?</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demonstration. Then:</w:t>
      </w:r>
    </w:p>
    <w:p>
      <w:pPr>
        <w:pStyle w:val="BlockText"/>
      </w:pPr>
      <w:r>
        <w:t xml:space="preserve">“Turn to your partner: the first pour made a solid and the second pour did not, even though both started with clear liquids. What do you think is</w:t>
      </w:r>
      <w:r>
        <w:t xml:space="preserve"> </w:t>
      </w:r>
      <w:r>
        <w:rPr>
          <w:i/>
          <w:iCs/>
        </w:rPr>
        <w:t xml:space="preserve">different</w:t>
      </w:r>
      <w:r>
        <w:t xml:space="preserve"> </w:t>
      </w:r>
      <w:r>
        <w:t xml:space="preserve">about the two combinations of ions? Try to name the specific thing that decides it.”</w:t>
      </w:r>
    </w:p>
    <w:p>
      <w:pPr>
        <w:pStyle w:val="FirstParagraph"/>
      </w:pPr>
      <w:r>
        <w:t xml:space="preserve">Target insight (leave open if no one lands it yet): the difference is in</w:t>
      </w:r>
      <w:r>
        <w:t xml:space="preserve"> </w:t>
      </w:r>
      <w:r>
        <w:rPr>
          <w:i/>
          <w:iCs/>
        </w:rPr>
        <w:t xml:space="preserve">which ions</w:t>
      </w:r>
      <w:r>
        <w:t xml:space="preserve"> </w:t>
      </w:r>
      <w:r>
        <w:t xml:space="preserve">meet. Some cation–anion pairs form an insoluble solid; others stay dissolved. There must be a pattern — and a way to look it up — for which pairs do which. We will name that pattern in Phase 3.</w:t>
      </w:r>
    </w:p>
    <w:p>
      <w:r>
        <w:pict>
          <v:rect style="width:0;height:1.5pt" o:hralign="center" o:hrstd="t" o:hr="t"/>
        </w:pict>
      </w:r>
    </w:p>
    <w:bookmarkEnd w:id="18"/>
    <w:bookmarkEnd w:id="19"/>
    <w:bookmarkStart w:id="27" w:name="phase-2-explore-10-30-min"/>
    <w:p>
      <w:pPr>
        <w:pStyle w:val="Heading2"/>
      </w:pPr>
      <w:r>
        <w:t xml:space="preserve">Phase 2 · Explore</w:t>
      </w:r>
      <w:r>
        <w:t xml:space="preserve"> </w:t>
      </w:r>
      <w:r>
        <w:rPr>
          <w:i/>
          <w:iCs/>
        </w:rPr>
        <w:t xml:space="preserve">(10 – 30 min)</w:t>
      </w:r>
    </w:p>
    <w:bookmarkStart w:id="20" w:name="Xb71cbdfbea75641c8af4d38130f0e778bf1df28"/>
    <w:p>
      <w:pPr>
        <w:pStyle w:val="Heading3"/>
      </w:pPr>
      <w:r>
        <w:t xml:space="preserve">10–15 min · ABCs Activity — run the Javalab pairings before any rule is named</w:t>
      </w:r>
    </w:p>
    <w:p>
      <w:pPr>
        <w:pStyle w:val="FirstParagraph"/>
      </w:pPr>
      <w:r>
        <w:rPr>
          <w:b/>
          <w:bCs/>
        </w:rPr>
        <w:t xml:space="preserve">Before any formal vocabulary or rule is introduced</w:t>
      </w:r>
      <w:r>
        <w:t xml:space="preserve">, students build intuition by running combinations in the Javalab</w:t>
      </w:r>
      <w:r>
        <w:t xml:space="preserve"> </w:t>
      </w:r>
      <w:r>
        <w:t xml:space="preserve">“Precipitation reaction”</w:t>
      </w:r>
      <w:r>
        <w:t xml:space="preserve"> </w:t>
      </w:r>
      <w:r>
        <w:t xml:space="preserve">simulation and recording what they observe.</w:t>
      </w:r>
    </w:p>
    <w:p>
      <w:pPr>
        <w:pStyle w:val="BodyText"/>
      </w:pPr>
      <w:r>
        <w:t xml:space="preserve">Students open the simulation and mix pairs of solutions, recording for each whether a solid forms. Have them run at least these six pairings (no rules given yet — they observe only):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Mix these two solutions</w:t>
            </w:r>
          </w:p>
        </w:tc>
        <w:tc>
          <w:tcPr/>
          <w:p>
            <w:pPr>
              <w:pStyle w:val="Compact"/>
            </w:pPr>
            <w:r>
              <w:t xml:space="preserve">Solid forms? (observe)</w:t>
            </w:r>
          </w:p>
        </w:tc>
      </w:tr>
      <w:tr>
        <w:tc>
          <w:tcPr/>
          <w:p>
            <w:pPr>
              <w:pStyle w:val="Compact"/>
            </w:pPr>
            <w:r>
              <w:t xml:space="preserve">NaCl + KNO₃</w:t>
            </w:r>
          </w:p>
        </w:tc>
        <w:tc>
          <w:tcPr/>
          <w:p>
            <w:pPr>
              <w:pStyle w:val="Compact"/>
            </w:pPr>
          </w:p>
        </w:tc>
      </w:tr>
      <w:tr>
        <w:tc>
          <w:tcPr/>
          <w:p>
            <w:pPr>
              <w:pStyle w:val="Compact"/>
            </w:pPr>
            <w:r>
              <w:t xml:space="preserve">Pb(NO₃)₂ + KI</w:t>
            </w:r>
          </w:p>
        </w:tc>
        <w:tc>
          <w:tcPr/>
          <w:p>
            <w:pPr>
              <w:pStyle w:val="Compact"/>
            </w:pPr>
          </w:p>
        </w:tc>
      </w:tr>
      <w:tr>
        <w:tc>
          <w:tcPr/>
          <w:p>
            <w:pPr>
              <w:pStyle w:val="Compact"/>
            </w:pPr>
            <w:r>
              <w:t xml:space="preserve">Na₂CO₃ + CaCl₂</w:t>
            </w:r>
          </w:p>
        </w:tc>
        <w:tc>
          <w:tcPr/>
          <w:p>
            <w:pPr>
              <w:pStyle w:val="Compact"/>
            </w:pPr>
          </w:p>
        </w:tc>
      </w:tr>
      <w:tr>
        <w:tc>
          <w:tcPr/>
          <w:p>
            <w:pPr>
              <w:pStyle w:val="Compact"/>
            </w:pPr>
            <w:r>
              <w:t xml:space="preserve">KNO₃ + NaNO₃</w:t>
            </w:r>
          </w:p>
        </w:tc>
        <w:tc>
          <w:tcPr/>
          <w:p>
            <w:pPr>
              <w:pStyle w:val="Compact"/>
            </w:pPr>
          </w:p>
        </w:tc>
      </w:tr>
      <w:tr>
        <w:tc>
          <w:tcPr/>
          <w:p>
            <w:pPr>
              <w:pStyle w:val="Compact"/>
            </w:pPr>
            <w:r>
              <w:t xml:space="preserve">AgNO₃ + NaCl</w:t>
            </w:r>
          </w:p>
        </w:tc>
        <w:tc>
          <w:tcPr/>
          <w:p>
            <w:pPr>
              <w:pStyle w:val="Compact"/>
            </w:pPr>
          </w:p>
        </w:tc>
      </w:tr>
      <w:tr>
        <w:tc>
          <w:tcPr/>
          <w:p>
            <w:pPr>
              <w:pStyle w:val="Compact"/>
            </w:pPr>
            <w:r>
              <w:t xml:space="preserve">KI + NaNO₃</w:t>
            </w:r>
          </w:p>
        </w:tc>
        <w:tc>
          <w:tcPr/>
          <w:p>
            <w:pPr>
              <w:pStyle w:val="Compact"/>
            </w:pPr>
          </w:p>
        </w:tc>
      </w:tr>
    </w:tbl>
    <w:p>
      <w:pPr>
        <w:pStyle w:val="BodyText"/>
      </w:pPr>
      <w:r>
        <w:rPr>
          <w:b/>
          <w:bCs/>
        </w:rPr>
        <w:t xml:space="preserve">Teacher facilitation language (circulate):</w:t>
      </w:r>
    </w:p>
    <w:p>
      <w:pPr>
        <w:pStyle w:val="BlockText"/>
      </w:pPr>
      <w:r>
        <w:t xml:space="preserve">“Don’t predict yet — just run each pairing and write down what you see: cloudy solid, or stays clear. We are collecting data first. The pattern will jump out once you have all six.”</w:t>
      </w:r>
    </w:p>
    <w:p>
      <w:pPr>
        <w:pStyle w:val="BlockText"/>
      </w:pPr>
      <w:r>
        <w:t xml:space="preserve">“Look at the pairs that made a solid. What ion shows up in those that does not show up in the clear ones? Circle the ion you suspect is the</w:t>
      </w:r>
      <w:r>
        <w:t xml:space="preserve"> </w:t>
      </w:r>
      <w:r>
        <w:t xml:space="preserve">‘troublemaker’</w:t>
      </w:r>
      <w:r>
        <w:t xml:space="preserve"> </w:t>
      </w:r>
      <w:r>
        <w:t xml:space="preserve">in each solid-forming pair.”</w:t>
      </w:r>
    </w:p>
    <w:p>
      <w:pPr>
        <w:pStyle w:val="FirstParagraph"/>
      </w:pPr>
      <w:r>
        <w:rPr>
          <w:b/>
          <w:bCs/>
        </w:rPr>
        <w:t xml:space="preserve">Anticipated student responses during ABCs:</w:t>
      </w:r>
    </w:p>
    <w:p>
      <w:pPr>
        <w:pStyle w:val="Compact"/>
        <w:numPr>
          <w:ilvl w:val="0"/>
          <w:numId w:val="1006"/>
        </w:numPr>
      </w:pPr>
      <w:r>
        <w:t xml:space="preserve">“Two of them made a solid and the rest stayed clear.”</w:t>
      </w:r>
      <w:r>
        <w:t xml:space="preserve"> </w:t>
      </w:r>
      <w:r>
        <w:t xml:space="preserve">— good data; which two? What do those two have in common?</w:t>
      </w:r>
    </w:p>
    <w:p>
      <w:pPr>
        <w:pStyle w:val="Compact"/>
        <w:numPr>
          <w:ilvl w:val="0"/>
          <w:numId w:val="1006"/>
        </w:numPr>
      </w:pPr>
      <w:r>
        <w:t xml:space="preserve">“Anything with sodium or potassium or nitrate stays clear.”</w:t>
      </w:r>
      <w:r>
        <w:t xml:space="preserve"> </w:t>
      </w:r>
      <w:r>
        <w:t xml:space="preserve">— excellent pattern-spotting; that is exactly the rule we’ll formalize: Group 1 ions and nitrate are always soluble.</w:t>
      </w:r>
    </w:p>
    <w:p>
      <w:pPr>
        <w:pStyle w:val="Compact"/>
        <w:numPr>
          <w:ilvl w:val="0"/>
          <w:numId w:val="1006"/>
        </w:numPr>
      </w:pPr>
      <w:r>
        <w:t xml:space="preserve">“Silver and chloride made a white solid; lead and iodide made a yellow one.”</w:t>
      </w:r>
      <w:r>
        <w:t xml:space="preserve"> </w:t>
      </w:r>
      <w:r>
        <w:t xml:space="preserve">— strong observation; specific ion pairs precipitate. We’ll find the list of which ones.</w:t>
      </w:r>
    </w:p>
    <w:bookmarkEnd w:id="20"/>
    <w:bookmarkStart w:id="24" w:name="Xabb19a4aa43d024deffe7c420609521a8f6a2b7"/>
    <w:p>
      <w:pPr>
        <w:pStyle w:val="Heading3"/>
      </w:pPr>
      <w:r>
        <w:t xml:space="preserve">15–22 min · Initial Model — sketch where the solid comes from</w:t>
      </w:r>
    </w:p>
    <w:p>
      <w:pPr>
        <w:pStyle w:val="FirstParagraph"/>
      </w:pPr>
      <w:r>
        <w:rPr>
          <w:b/>
          <w:bCs/>
        </w:rPr>
        <w:t xml:space="preserve">Prompt on the board:</w:t>
      </w:r>
    </w:p>
    <w:p>
      <w:pPr>
        <w:pStyle w:val="BlockText"/>
      </w:pPr>
      <w:r>
        <w:rPr>
          <w:i/>
          <w:iCs/>
        </w:rPr>
        <w:t xml:space="preserve">“Before we name the rule: draw a</w:t>
      </w:r>
      <w:r>
        <w:rPr>
          <w:i/>
          <w:iCs/>
        </w:rPr>
        <w:t xml:space="preserve"> </w:t>
      </w:r>
      <w:r>
        <w:rPr>
          <w:i/>
          <w:iCs/>
        </w:rPr>
        <w:t xml:space="preserve">‘before’</w:t>
      </w:r>
      <w:r>
        <w:rPr>
          <w:i/>
          <w:iCs/>
        </w:rPr>
        <w:t xml:space="preserve"> </w:t>
      </w:r>
      <w:r>
        <w:rPr>
          <w:i/>
          <w:iCs/>
        </w:rPr>
        <w:t xml:space="preserve">picture of the Pb(NO₃)₂ + KI mix the instant the two solutions meet — show the four kinds of free ions (Pb²⁺, NO₃⁻, K⁺, I⁻) floating separately. Then draw an</w:t>
      </w:r>
      <w:r>
        <w:rPr>
          <w:i/>
          <w:iCs/>
        </w:rPr>
        <w:t xml:space="preserve"> </w:t>
      </w:r>
      <w:r>
        <w:rPr>
          <w:i/>
          <w:iCs/>
        </w:rPr>
        <w:t xml:space="preserve">‘after’</w:t>
      </w:r>
      <w:r>
        <w:rPr>
          <w:i/>
          <w:iCs/>
        </w:rPr>
        <w:t xml:space="preserve"> </w:t>
      </w:r>
      <w:r>
        <w:rPr>
          <w:i/>
          <w:iCs/>
        </w:rPr>
        <w:t xml:space="preserve">picture showing the yellow solid. Which two ions ended up in the solid? Which two stayed floating?”</w:t>
      </w:r>
    </w:p>
    <w:p>
      <w:pPr>
        <w:pStyle w:val="FirstParagraph"/>
      </w:pPr>
      <w:r>
        <w:t xml:space="preserve">Students sketch individually for 3–4 minutes, then compare with a partner. Project the model figure to support (do not hand them the answer — let them attempt first):</w:t>
      </w:r>
    </w:p>
    <w:p>
      <w:pPr>
        <w:pStyle w:val="CaptionedFigure"/>
      </w:pPr>
      <w:r>
        <w:drawing>
          <wp:inline>
            <wp:extent cx="5791200" cy="3096768"/>
            <wp:effectExtent b="0" l="0" r="0" t="0"/>
            <wp:docPr descr="Two-panel particle model of a precipitation reaction. Left panel, titled ‘Just mixed: ions move freely’, shows free, separated ions in solution: purple Pb²⁺, orange I⁻, blue K⁺, and green NO₃⁻ ions dispersed in a beaker. Right panel, titled ‘Precipitate forms: PbI₂ solid’, shows blue K⁺ and green NO₃⁻ ions still dissolved and dispersed at the top labeled as spectators, while purple Pb²⁺ and orange I⁻ ions are bonded together into a clustered solid lattice at the bottom labeled ‘insoluble solid settles’. An arrow points from the left panel to the right panel." title="" id="22" name="Picture"/>
            <a:graphic>
              <a:graphicData uri="http://schemas.openxmlformats.org/drawingml/2006/picture">
                <pic:pic>
                  <pic:nvPicPr>
                    <pic:cNvPr descr="figures/precipitation_particle_model.png" id="23" name="Picture"/>
                    <pic:cNvPicPr>
                      <a:picLocks noChangeArrowheads="1" noChangeAspect="1"/>
                    </pic:cNvPicPr>
                  </pic:nvPicPr>
                  <pic:blipFill>
                    <a:blip r:embed="rId21"/>
                    <a:stretch>
                      <a:fillRect/>
                    </a:stretch>
                  </pic:blipFill>
                  <pic:spPr bwMode="auto">
                    <a:xfrm>
                      <a:off x="0" y="0"/>
                      <a:ext cx="5791200" cy="3096768"/>
                    </a:xfrm>
                    <a:prstGeom prst="rect">
                      <a:avLst/>
                    </a:prstGeom>
                    <a:noFill/>
                    <a:ln w="9525">
                      <a:noFill/>
                      <a:headEnd/>
                      <a:tailEnd/>
                    </a:ln>
                  </pic:spPr>
                </pic:pic>
              </a:graphicData>
            </a:graphic>
          </wp:inline>
        </w:drawing>
      </w:r>
    </w:p>
    <w:p>
      <w:pPr>
        <w:pStyle w:val="ImageCaption"/>
      </w:pPr>
      <w:r>
        <w:t xml:space="preserve">Two-panel particle model of a precipitation reaction. Left panel, titled</w:t>
      </w:r>
      <w:r>
        <w:t xml:space="preserve"> </w:t>
      </w:r>
      <w:r>
        <w:t xml:space="preserve">‘Just mixed: ions move freely’</w:t>
      </w:r>
      <w:r>
        <w:t xml:space="preserve">, shows free, separated ions in solution: purple Pb²⁺, orange I⁻, blue K⁺, and green NO₃⁻ ions dispersed in a beaker. Right panel, titled</w:t>
      </w:r>
      <w:r>
        <w:t xml:space="preserve"> </w:t>
      </w:r>
      <w:r>
        <w:t xml:space="preserve">‘Precipitate forms: PbI₂ solid’</w:t>
      </w:r>
      <w:r>
        <w:t xml:space="preserve">, shows blue K⁺ and green NO₃⁻ ions still dissolved and dispersed at the top labeled as spectators, while purple Pb²⁺ and orange I⁻ ions are bonded together into a clustered solid lattice at the bottom labeled</w:t>
      </w:r>
      <w:r>
        <w:t xml:space="preserve"> </w:t>
      </w:r>
      <w:r>
        <w:t xml:space="preserve">‘insoluble solid settles’</w:t>
      </w:r>
      <w:r>
        <w:t xml:space="preserve">. An arrow points from the left panel to the right panel.</w:t>
      </w:r>
    </w:p>
    <w:p>
      <w:pPr>
        <w:pStyle w:val="BodyText"/>
      </w:pPr>
      <w:r>
        <w:t xml:space="preserve">Target model: in the</w:t>
      </w:r>
      <w:r>
        <w:t xml:space="preserve"> </w:t>
      </w:r>
      <w:r>
        <w:t xml:space="preserve">“after,”</w:t>
      </w:r>
      <w:r>
        <w:t xml:space="preserve"> </w:t>
      </w:r>
      <w:r>
        <w:t xml:space="preserve">Pb²⁺ and I⁻ are bonded into a clustered solid that drops out of the liquid; K⁺ and NO₃⁻ remain free and dissolved.</w:t>
      </w:r>
      <w:r>
        <w:t xml:space="preserve"> </w:t>
      </w:r>
      <w:r>
        <w:rPr>
          <w:b/>
          <w:bCs/>
        </w:rPr>
        <w:t xml:space="preserve">No new atoms appeared</w:t>
      </w:r>
      <w:r>
        <w:t xml:space="preserve"> </w:t>
      </w:r>
      <w:r>
        <w:t xml:space="preserve">— the same ions rearranged. The solid is made of ions that were invisible (dissolved) the whole time.</w:t>
      </w:r>
    </w:p>
    <w:p>
      <w:pPr>
        <w:pStyle w:val="BodyText"/>
      </w:pPr>
      <w:r>
        <w:rPr>
          <w:b/>
          <w:bCs/>
        </w:rPr>
        <w:t xml:space="preserve">Teacher facilitation language:</w:t>
      </w:r>
    </w:p>
    <w:p>
      <w:pPr>
        <w:pStyle w:val="BlockText"/>
      </w:pPr>
      <w:r>
        <w:t xml:space="preserve">“Count the atoms in your</w:t>
      </w:r>
      <w:r>
        <w:t xml:space="preserve"> </w:t>
      </w:r>
      <w:r>
        <w:t xml:space="preserve">‘before’</w:t>
      </w:r>
      <w:r>
        <w:t xml:space="preserve"> </w:t>
      </w:r>
      <w:r>
        <w:t xml:space="preserve">and your</w:t>
      </w:r>
      <w:r>
        <w:t xml:space="preserve"> </w:t>
      </w:r>
      <w:r>
        <w:t xml:space="preserve">‘after.’</w:t>
      </w:r>
      <w:r>
        <w:t xml:space="preserve"> </w:t>
      </w:r>
      <w:r>
        <w:t xml:space="preserve">Did any new atom appear out of nowhere? No — every ion in the solid was already in one of the two beakers, just dissolved and invisible. The pour let the right two ions find each other.”</w:t>
      </w:r>
    </w:p>
    <w:p>
      <w:pPr>
        <w:pStyle w:val="FirstParagraph"/>
      </w:pPr>
      <w:r>
        <w:rPr>
          <w:b/>
          <w:bCs/>
        </w:rPr>
        <w:t xml:space="preserve">Anticipated student responses:</w:t>
      </w:r>
    </w:p>
    <w:p>
      <w:pPr>
        <w:pStyle w:val="Compact"/>
        <w:numPr>
          <w:ilvl w:val="0"/>
          <w:numId w:val="1007"/>
        </w:numPr>
      </w:pPr>
      <w:r>
        <w:t xml:space="preserve">“The lead and iodide made the solid; potassium and nitrate stayed in the water.”</w:t>
      </w:r>
      <w:r>
        <w:t xml:space="preserve"> </w:t>
      </w:r>
      <w:r>
        <w:t xml:space="preserve">— exactly right; those floaters have a name we’ll learn (spectator ions).</w:t>
      </w:r>
    </w:p>
    <w:p>
      <w:pPr>
        <w:pStyle w:val="Compact"/>
        <w:numPr>
          <w:ilvl w:val="0"/>
          <w:numId w:val="1007"/>
        </w:numPr>
      </w:pPr>
      <w:r>
        <w:t xml:space="preserve">“So the solid was hiding in the water?”</w:t>
      </w:r>
      <w:r>
        <w:t xml:space="preserve"> </w:t>
      </w:r>
      <w:r>
        <w:t xml:space="preserve">— close; the</w:t>
      </w:r>
      <w:r>
        <w:t xml:space="preserve"> </w:t>
      </w:r>
      <w:r>
        <w:rPr>
          <w:i/>
          <w:iCs/>
        </w:rPr>
        <w:t xml:space="preserve">ions</w:t>
      </w:r>
      <w:r>
        <w:t xml:space="preserve"> </w:t>
      </w:r>
      <w:r>
        <w:t xml:space="preserve">were dissolved and invisible, but they weren’t a solid yet — the solid only forms when Pb²⁺ and I⁻ combine.</w:t>
      </w:r>
    </w:p>
    <w:p>
      <w:pPr>
        <w:pStyle w:val="Compact"/>
        <w:numPr>
          <w:ilvl w:val="0"/>
          <w:numId w:val="1007"/>
        </w:numPr>
      </w:pPr>
      <w:r>
        <w:t xml:space="preserve">“Why don’t K⁺ and NO₃⁻ also make a solid?”</w:t>
      </w:r>
      <w:r>
        <w:t xml:space="preserve"> </w:t>
      </w:r>
      <w:r>
        <w:t xml:space="preserve">— because potassium compounds and nitrate compounds stay soluble. That’s the rule we’re about to read off the table.</w:t>
      </w:r>
    </w:p>
    <w:bookmarkEnd w:id="24"/>
    <w:bookmarkStart w:id="25" w:name="Xcb7ee6dfa8d75f6614f250b88bba3f471d021bc"/>
    <w:p>
      <w:pPr>
        <w:pStyle w:val="Heading3"/>
      </w:pPr>
      <w:r>
        <w:t xml:space="preserve">22–30 min · Investigation — read the solubility table, predict, then check</w:t>
      </w:r>
    </w:p>
    <w:p>
      <w:pPr>
        <w:pStyle w:val="FirstParagraph"/>
      </w:pPr>
      <w:r>
        <w:t xml:space="preserve">Groups of three or four now use the</w:t>
      </w:r>
      <w:r>
        <w:t xml:space="preserve"> </w:t>
      </w:r>
      <w:r>
        <w:rPr>
          <w:b/>
          <w:bCs/>
        </w:rPr>
        <w:t xml:space="preserve">solubility-guidelines table</w:t>
      </w:r>
      <w:r>
        <w:t xml:space="preserve"> </w:t>
      </w:r>
      <w:r>
        <w:t xml:space="preserve">(NYS Reference Tables) for the first time. Distribute or project the relevant rules:</w:t>
      </w:r>
    </w:p>
    <w:p>
      <w:pPr>
        <w:pStyle w:val="Compact"/>
        <w:numPr>
          <w:ilvl w:val="0"/>
          <w:numId w:val="1008"/>
        </w:numPr>
      </w:pPr>
      <w:r>
        <w:t xml:space="preserve">Compounds of</w:t>
      </w:r>
      <w:r>
        <w:t xml:space="preserve"> </w:t>
      </w:r>
      <w:r>
        <w:rPr>
          <w:b/>
          <w:bCs/>
        </w:rPr>
        <w:t xml:space="preserve">Group 1 metals (Li⁺, Na⁺, K⁺, …)</w:t>
      </w:r>
      <w:r>
        <w:t xml:space="preserve"> </w:t>
      </w:r>
      <w:r>
        <w:t xml:space="preserve">and</w:t>
      </w:r>
      <w:r>
        <w:t xml:space="preserve"> </w:t>
      </w:r>
      <w:r>
        <w:rPr>
          <w:b/>
          <w:bCs/>
        </w:rPr>
        <w:t xml:space="preserve">ammonium (NH₄⁺)</w:t>
      </w:r>
      <w:r>
        <w:t xml:space="preserve"> </w:t>
      </w:r>
      <w:r>
        <w:t xml:space="preserve">are</w:t>
      </w:r>
      <w:r>
        <w:t xml:space="preserve"> </w:t>
      </w:r>
      <w:r>
        <w:rPr>
          <w:b/>
          <w:bCs/>
        </w:rPr>
        <w:t xml:space="preserve">soluble</w:t>
      </w:r>
      <w:r>
        <w:t xml:space="preserve">.</w:t>
      </w:r>
    </w:p>
    <w:p>
      <w:pPr>
        <w:pStyle w:val="Compact"/>
        <w:numPr>
          <w:ilvl w:val="0"/>
          <w:numId w:val="1008"/>
        </w:numPr>
      </w:pPr>
      <w:r>
        <w:rPr>
          <w:b/>
          <w:bCs/>
        </w:rPr>
        <w:t xml:space="preserve">Nitrates (NO₃⁻)</w:t>
      </w:r>
      <w:r>
        <w:t xml:space="preserve"> </w:t>
      </w:r>
      <w:r>
        <w:t xml:space="preserve">are</w:t>
      </w:r>
      <w:r>
        <w:t xml:space="preserve"> </w:t>
      </w:r>
      <w:r>
        <w:rPr>
          <w:b/>
          <w:bCs/>
        </w:rPr>
        <w:t xml:space="preserve">soluble</w:t>
      </w:r>
      <w:r>
        <w:t xml:space="preserve">.</w:t>
      </w:r>
    </w:p>
    <w:p>
      <w:pPr>
        <w:pStyle w:val="Compact"/>
        <w:numPr>
          <w:ilvl w:val="0"/>
          <w:numId w:val="1008"/>
        </w:numPr>
      </w:pPr>
      <w:r>
        <w:rPr>
          <w:b/>
          <w:bCs/>
        </w:rPr>
        <w:t xml:space="preserve">Chlorides (Cl⁻)</w:t>
      </w:r>
      <w:r>
        <w:t xml:space="preserve"> </w:t>
      </w:r>
      <w:r>
        <w:t xml:space="preserve">are soluble</w:t>
      </w:r>
      <w:r>
        <w:t xml:space="preserve"> </w:t>
      </w:r>
      <w:r>
        <w:rPr>
          <w:b/>
          <w:bCs/>
        </w:rPr>
        <w:t xml:space="preserve">except</w:t>
      </w:r>
      <w:r>
        <w:t xml:space="preserve"> </w:t>
      </w:r>
      <w:r>
        <w:t xml:space="preserve">those of Ag⁺, Pb²⁺, Hg₂²⁺.</w:t>
      </w:r>
    </w:p>
    <w:p>
      <w:pPr>
        <w:pStyle w:val="Compact"/>
        <w:numPr>
          <w:ilvl w:val="0"/>
          <w:numId w:val="1008"/>
        </w:numPr>
      </w:pPr>
      <w:r>
        <w:rPr>
          <w:b/>
          <w:bCs/>
        </w:rPr>
        <w:t xml:space="preserve">Carbonates (CO₃²⁻)</w:t>
      </w:r>
      <w:r>
        <w:t xml:space="preserve"> </w:t>
      </w:r>
      <w:r>
        <w:t xml:space="preserve">are</w:t>
      </w:r>
      <w:r>
        <w:t xml:space="preserve"> </w:t>
      </w:r>
      <w:r>
        <w:rPr>
          <w:b/>
          <w:bCs/>
        </w:rPr>
        <w:t xml:space="preserve">insoluble except</w:t>
      </w:r>
      <w:r>
        <w:t xml:space="preserve"> </w:t>
      </w:r>
      <w:r>
        <w:t xml:space="preserve">with Group 1 and NH₄⁺.</w:t>
      </w:r>
    </w:p>
    <w:p>
      <w:pPr>
        <w:pStyle w:val="Compact"/>
        <w:numPr>
          <w:ilvl w:val="0"/>
          <w:numId w:val="1008"/>
        </w:numPr>
      </w:pPr>
      <w:r>
        <w:rPr>
          <w:b/>
          <w:bCs/>
        </w:rPr>
        <w:t xml:space="preserve">Iodides (I⁻)</w:t>
      </w:r>
      <w:r>
        <w:t xml:space="preserve"> </w:t>
      </w:r>
      <w:r>
        <w:t xml:space="preserve">are soluble</w:t>
      </w:r>
      <w:r>
        <w:t xml:space="preserve"> </w:t>
      </w:r>
      <w:r>
        <w:rPr>
          <w:b/>
          <w:bCs/>
        </w:rPr>
        <w:t xml:space="preserve">except</w:t>
      </w:r>
      <w:r>
        <w:t xml:space="preserve"> </w:t>
      </w:r>
      <w:r>
        <w:t xml:space="preserve">those of Ag⁺, Pb²⁺, Hg₂²⁺.</w:t>
      </w:r>
    </w:p>
    <w:p>
      <w:pPr>
        <w:pStyle w:val="FirstParagraph"/>
      </w:pPr>
      <w:r>
        <w:t xml:space="preserve">Students return to the six Javalab pairings and, for each, predict using the table, then confirm against the data they collected. Fill the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Mix</w:t>
            </w:r>
          </w:p>
        </w:tc>
        <w:tc>
          <w:tcPr/>
          <w:p>
            <w:pPr>
              <w:pStyle w:val="Compact"/>
            </w:pPr>
            <w:r>
              <w:t xml:space="preserve">Possible new pairings</w:t>
            </w:r>
          </w:p>
        </w:tc>
        <w:tc>
          <w:tcPr/>
          <w:p>
            <w:pPr>
              <w:pStyle w:val="Compact"/>
            </w:pPr>
            <w:r>
              <w:t xml:space="preserve">Insoluble one (precipitate)?</w:t>
            </w:r>
          </w:p>
        </w:tc>
        <w:tc>
          <w:tcPr/>
          <w:p>
            <w:pPr>
              <w:pStyle w:val="Compact"/>
            </w:pPr>
            <w:r>
              <w:t xml:space="preserve">Matches Javalab?</w:t>
            </w:r>
          </w:p>
        </w:tc>
      </w:tr>
      <w:tr>
        <w:tc>
          <w:tcPr/>
          <w:p>
            <w:pPr>
              <w:pStyle w:val="Compact"/>
            </w:pPr>
            <w:r>
              <w:t xml:space="preserve">Pb(NO₃)₂ + KI</w:t>
            </w:r>
          </w:p>
        </w:tc>
        <w:tc>
          <w:tcPr/>
          <w:p>
            <w:pPr>
              <w:pStyle w:val="Compact"/>
            </w:pPr>
            <w:r>
              <w:t xml:space="preserve">KNO₃, PbI₂</w:t>
            </w:r>
          </w:p>
        </w:tc>
        <w:tc>
          <w:tcPr/>
          <w:p>
            <w:pPr>
              <w:pStyle w:val="Compact"/>
            </w:pPr>
            <w:r>
              <w:t xml:space="preserve">PbI₂ (Pb²⁺ iodide → insoluble)</w:t>
            </w:r>
          </w:p>
        </w:tc>
        <w:tc>
          <w:tcPr/>
          <w:p>
            <w:pPr>
              <w:pStyle w:val="Compact"/>
            </w:pPr>
            <w:r>
              <w:t xml:space="preserve">yes — yellow solid</w:t>
            </w:r>
          </w:p>
        </w:tc>
      </w:tr>
      <w:tr>
        <w:tc>
          <w:tcPr/>
          <w:p>
            <w:pPr>
              <w:pStyle w:val="Compact"/>
            </w:pPr>
            <w:r>
              <w:t xml:space="preserve">Na₂CO₃ + CaCl₂</w:t>
            </w:r>
          </w:p>
        </w:tc>
        <w:tc>
          <w:tcPr/>
          <w:p>
            <w:pPr>
              <w:pStyle w:val="Compact"/>
            </w:pPr>
            <w:r>
              <w:t xml:space="preserve">NaCl, CaCO₃</w:t>
            </w:r>
          </w:p>
        </w:tc>
        <w:tc>
          <w:tcPr/>
          <w:p>
            <w:pPr>
              <w:pStyle w:val="Compact"/>
            </w:pPr>
            <w:r>
              <w:t xml:space="preserve">CaCO₃ (carbonate, not Group 1) → insoluble</w:t>
            </w:r>
          </w:p>
        </w:tc>
        <w:tc>
          <w:tcPr/>
          <w:p>
            <w:pPr>
              <w:pStyle w:val="Compact"/>
            </w:pPr>
            <w:r>
              <w:t xml:space="preserve">yes — white solid</w:t>
            </w:r>
          </w:p>
        </w:tc>
      </w:tr>
      <w:tr>
        <w:tc>
          <w:tcPr/>
          <w:p>
            <w:pPr>
              <w:pStyle w:val="Compact"/>
            </w:pPr>
            <w:r>
              <w:t xml:space="preserve">AgNO₃ + NaCl</w:t>
            </w:r>
          </w:p>
        </w:tc>
        <w:tc>
          <w:tcPr/>
          <w:p>
            <w:pPr>
              <w:pStyle w:val="Compact"/>
            </w:pPr>
            <w:r>
              <w:t xml:space="preserve">AgNO₃, NaCl→ AgCl, NaNO₃</w:t>
            </w:r>
          </w:p>
        </w:tc>
        <w:tc>
          <w:tcPr/>
          <w:p>
            <w:pPr>
              <w:pStyle w:val="Compact"/>
            </w:pPr>
            <w:r>
              <w:t xml:space="preserve">AgCl (Ag⁺ chloride → insoluble)</w:t>
            </w:r>
          </w:p>
        </w:tc>
        <w:tc>
          <w:tcPr/>
          <w:p>
            <w:pPr>
              <w:pStyle w:val="Compact"/>
            </w:pPr>
            <w:r>
              <w:t xml:space="preserve">yes — white solid</w:t>
            </w:r>
          </w:p>
        </w:tc>
      </w:tr>
      <w:tr>
        <w:tc>
          <w:tcPr/>
          <w:p>
            <w:pPr>
              <w:pStyle w:val="Compact"/>
            </w:pPr>
            <w:r>
              <w:t xml:space="preserve">NaCl + KNO₃</w:t>
            </w:r>
          </w:p>
        </w:tc>
        <w:tc>
          <w:tcPr/>
          <w:p>
            <w:pPr>
              <w:pStyle w:val="Compact"/>
            </w:pPr>
            <w:r>
              <w:t xml:space="preserve">NaNO₃, KCl</w:t>
            </w:r>
          </w:p>
        </w:tc>
        <w:tc>
          <w:tcPr/>
          <w:p>
            <w:pPr>
              <w:pStyle w:val="Compact"/>
            </w:pPr>
            <w:r>
              <w:t xml:space="preserve">none — all soluble</w:t>
            </w:r>
          </w:p>
        </w:tc>
        <w:tc>
          <w:tcPr/>
          <w:p>
            <w:pPr>
              <w:pStyle w:val="Compact"/>
            </w:pPr>
            <w:r>
              <w:t xml:space="preserve">yes — stays clear</w:t>
            </w:r>
          </w:p>
        </w:tc>
      </w:tr>
      <w:tr>
        <w:tc>
          <w:tcPr/>
          <w:p>
            <w:pPr>
              <w:pStyle w:val="Compact"/>
            </w:pPr>
            <w:r>
              <w:t xml:space="preserve">KNO₃ + NaNO₃</w:t>
            </w:r>
          </w:p>
        </w:tc>
        <w:tc>
          <w:tcPr/>
          <w:p>
            <w:pPr>
              <w:pStyle w:val="Compact"/>
            </w:pPr>
            <w:r>
              <w:t xml:space="preserve">(only Group 1 + nitrate)</w:t>
            </w:r>
          </w:p>
        </w:tc>
        <w:tc>
          <w:tcPr/>
          <w:p>
            <w:pPr>
              <w:pStyle w:val="Compact"/>
            </w:pPr>
            <w:r>
              <w:t xml:space="preserve">none — all soluble</w:t>
            </w:r>
          </w:p>
        </w:tc>
        <w:tc>
          <w:tcPr/>
          <w:p>
            <w:pPr>
              <w:pStyle w:val="Compact"/>
            </w:pPr>
            <w:r>
              <w:t xml:space="preserve">yes — stays clear</w:t>
            </w:r>
          </w:p>
        </w:tc>
      </w:tr>
      <w:tr>
        <w:tc>
          <w:tcPr/>
          <w:p>
            <w:pPr>
              <w:pStyle w:val="Compact"/>
            </w:pPr>
            <w:r>
              <w:t xml:space="preserve">KI + NaNO₃</w:t>
            </w:r>
          </w:p>
        </w:tc>
        <w:tc>
          <w:tcPr/>
          <w:p>
            <w:pPr>
              <w:pStyle w:val="Compact"/>
            </w:pPr>
            <w:r>
              <w:t xml:space="preserve">KNO₃, NaI</w:t>
            </w:r>
          </w:p>
        </w:tc>
        <w:tc>
          <w:tcPr/>
          <w:p>
            <w:pPr>
              <w:pStyle w:val="Compact"/>
            </w:pPr>
            <w:r>
              <w:t xml:space="preserve">none — all soluble</w:t>
            </w:r>
          </w:p>
        </w:tc>
        <w:tc>
          <w:tcPr/>
          <w:p>
            <w:pPr>
              <w:pStyle w:val="Compact"/>
            </w:pPr>
            <w:r>
              <w:t xml:space="preserve">yes — stays clear</w:t>
            </w:r>
          </w:p>
        </w:tc>
      </w:tr>
    </w:tbl>
    <w:p>
      <w:pPr>
        <w:pStyle w:val="BodyText"/>
      </w:pPr>
      <w:r>
        <w:rPr>
          <w:b/>
          <w:bCs/>
        </w:rPr>
        <w:t xml:space="preserve">Teacher facilitation prompts (circulate):</w:t>
      </w:r>
    </w:p>
    <w:p>
      <w:pPr>
        <w:pStyle w:val="BlockText"/>
      </w:pPr>
      <w:r>
        <w:t xml:space="preserve">“Swap the partners: when you mix Pb(NO₃)₂ and KI, the new possible pairings are K with NO₃, and Pb with I. Check each on the table. KNO₃ — potassium, Group 1 — soluble. PbI₂ — lead iodide — that’s on the</w:t>
      </w:r>
      <w:r>
        <w:t xml:space="preserve"> </w:t>
      </w:r>
      <w:r>
        <w:t xml:space="preserve">‘except’</w:t>
      </w:r>
      <w:r>
        <w:t xml:space="preserve"> </w:t>
      </w:r>
      <w:r>
        <w:t xml:space="preserve">list, so insoluble. The insoluble one is your precipitate.”</w:t>
      </w:r>
    </w:p>
    <w:p>
      <w:pPr>
        <w:pStyle w:val="BlockText"/>
      </w:pPr>
      <w:r>
        <w:t xml:space="preserve">“For NaCl + KNO₃, swap partners: NaNO₃ and KCl. Both contain a Group 1 metal or nitrate. Both soluble. No precipitate — which is exactly what the simulation showed.”</w:t>
      </w:r>
    </w:p>
    <w:p>
      <w:pPr>
        <w:pStyle w:val="FirstParagraph"/>
      </w:pPr>
      <w:r>
        <w:rPr>
          <w:b/>
          <w:bCs/>
        </w:rPr>
        <w:t xml:space="preserve">Anticipated student responses:</w:t>
      </w:r>
    </w:p>
    <w:p>
      <w:pPr>
        <w:pStyle w:val="Compact"/>
        <w:numPr>
          <w:ilvl w:val="0"/>
          <w:numId w:val="1009"/>
        </w:numPr>
      </w:pPr>
      <w:r>
        <w:t xml:space="preserve">“How do I know which ions to re-pair?”</w:t>
      </w:r>
      <w:r>
        <w:t xml:space="preserve"> </w:t>
      </w:r>
      <w:r>
        <w:t xml:space="preserve">— the cation from one solution joins the anion from the other; swap the partners and check both new compounds on the table.</w:t>
      </w:r>
    </w:p>
    <w:p>
      <w:pPr>
        <w:pStyle w:val="Compact"/>
        <w:numPr>
          <w:ilvl w:val="0"/>
          <w:numId w:val="1009"/>
        </w:numPr>
      </w:pPr>
      <w:r>
        <w:t xml:space="preserve">“Both new compounds are soluble — so nothing happens?”</w:t>
      </w:r>
      <w:r>
        <w:t xml:space="preserve"> </w:t>
      </w:r>
      <w:r>
        <w:t xml:space="preserve">— correct; a precipitate forms only when at least one of the swapped pairings is insoluble.</w:t>
      </w:r>
    </w:p>
    <w:p>
      <w:pPr>
        <w:pStyle w:val="Compact"/>
        <w:numPr>
          <w:ilvl w:val="0"/>
          <w:numId w:val="1009"/>
        </w:numPr>
      </w:pPr>
      <w:r>
        <w:t xml:space="preserve">“The table matched every Javalab result.”</w:t>
      </w:r>
      <w:r>
        <w:t xml:space="preserve"> </w:t>
      </w:r>
      <w:r>
        <w:t xml:space="preserve">— that’s the point: the table</w:t>
      </w:r>
      <w:r>
        <w:t xml:space="preserve"> </w:t>
      </w:r>
      <w:r>
        <w:rPr>
          <w:i/>
          <w:iCs/>
        </w:rPr>
        <w:t xml:space="preserve">predicts</w:t>
      </w:r>
      <w:r>
        <w:t xml:space="preserve"> </w:t>
      </w:r>
      <w:r>
        <w:t xml:space="preserve">the simulation. You never had to memorize the reactions.</w:t>
      </w:r>
    </w:p>
    <w:bookmarkEnd w:id="25"/>
    <w:bookmarkStart w:id="26" w:name="min-reconnect-surface-the-method"/>
    <w:p>
      <w:pPr>
        <w:pStyle w:val="Heading3"/>
      </w:pPr>
      <w:r>
        <w:t xml:space="preserve">28–30 min · Reconnect + surface the method</w:t>
      </w:r>
    </w:p>
    <w:p>
      <w:pPr>
        <w:pStyle w:val="FirstParagraph"/>
      </w:pPr>
      <w:r>
        <w:t xml:space="preserve">Bring groups back. Put one prediction on the board (e.g., AgNO₃ + NaCl). Ask the class:</w:t>
      </w:r>
    </w:p>
    <w:p>
      <w:pPr>
        <w:pStyle w:val="BlockText"/>
      </w:pPr>
      <w:r>
        <w:t xml:space="preserve">“What is the procedure we used every single time? (1) Identify the four ions. (2) Swap partners to get two possible new compounds. (3) Check each new compound on the solubility table. (4) If one is insoluble,</w:t>
      </w:r>
      <w:r>
        <w:t xml:space="preserve"> </w:t>
      </w:r>
      <w:r>
        <w:rPr>
          <w:i/>
          <w:iCs/>
        </w:rPr>
        <w:t xml:space="preserve">that</w:t>
      </w:r>
      <w:r>
        <w:t xml:space="preserve"> </w:t>
      </w:r>
      <w:r>
        <w:t xml:space="preserve">is the precipitate; if both are soluble, no reaction. Same four steps, every pairing.”</w:t>
      </w:r>
    </w:p>
    <w:p>
      <w:pPr>
        <w:pStyle w:val="FirstParagraph"/>
      </w:pPr>
      <w:r>
        <w:t xml:space="preserve">Surface the key idea: the outcome was never guessed — it was</w:t>
      </w:r>
      <w:r>
        <w:t xml:space="preserve"> </w:t>
      </w:r>
      <w:r>
        <w:rPr>
          <w:i/>
          <w:iCs/>
        </w:rPr>
        <w:t xml:space="preserve">read</w:t>
      </w:r>
      <w:r>
        <w:t xml:space="preserve"> </w:t>
      </w:r>
      <w:r>
        <w:t xml:space="preserve">from a pattern. One table replaced memorizing every reaction.</w:t>
      </w:r>
    </w:p>
    <w:p>
      <w:r>
        <w:pict>
          <v:rect style="width:0;height:1.5pt" o:hralign="center" o:hrstd="t" o:hr="t"/>
        </w:pict>
      </w:r>
    </w:p>
    <w:bookmarkEnd w:id="26"/>
    <w:bookmarkEnd w:id="27"/>
    <w:bookmarkStart w:id="33"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your completed table. Turn to your partner: in every pairing that made a solid, what was true about one of the swapped compounds? In every pairing that stayed clear, what was true about both?”</w:t>
      </w:r>
    </w:p>
    <w:p>
      <w:pPr>
        <w:pStyle w:val="FirstParagraph"/>
      </w:pPr>
      <w:r>
        <w:t xml:space="preserve">Target consensus: a solid (precipitate) forms only when a swapped pairing is</w:t>
      </w:r>
      <w:r>
        <w:t xml:space="preserve"> </w:t>
      </w:r>
      <w:r>
        <w:rPr>
          <w:b/>
          <w:bCs/>
        </w:rPr>
        <w:t xml:space="preserve">insoluble</w:t>
      </w:r>
      <w:r>
        <w:t xml:space="preserve">. If both swapped compounds are soluble, the ions stay dissolved and nothing visible happens. Whether a compound is soluble or insoluble is a</w:t>
      </w:r>
      <w:r>
        <w:t xml:space="preserve"> </w:t>
      </w:r>
      <w:r>
        <w:rPr>
          <w:b/>
          <w:bCs/>
        </w:rPr>
        <w:t xml:space="preserve">pattern you read from the table</w:t>
      </w:r>
      <w:r>
        <w:t xml:space="preserve">, not a fact you memorize one reaction at a time.</w:t>
      </w:r>
    </w:p>
    <w:p>
      <w:pPr>
        <w:pStyle w:val="BlockText"/>
      </w:pPr>
      <w:r>
        <w:t xml:space="preserve">“If I told you to mix lead nitrate with sodium iodide — Pb(NO₃)₂ + NaI — without running it, could you predict the result? What’s the precipitate?”</w:t>
      </w:r>
    </w:p>
    <w:p>
      <w:pPr>
        <w:pStyle w:val="FirstParagraph"/>
      </w:pPr>
      <w:r>
        <w:t xml:space="preserve">Target: swap partners → NaNO₃ (soluble) and PbI₂ (insoluble) → PbI₂ precipitates, same yellow solid as before. The cation that matters (Pb²⁺) and anion that matters (I⁻) are the same as the original demo; the sodium just plays the spectator role potassium did.</w:t>
      </w:r>
    </w:p>
    <w:bookmarkEnd w:id="28"/>
    <w:bookmarkStart w:id="32"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 compound that dissolves in water — that breaks apart into free ions — we call</w:t>
      </w:r>
      <w:r>
        <w:t xml:space="preserve"> </w:t>
      </w:r>
      <w:r>
        <w:rPr>
          <w:b/>
          <w:bCs/>
        </w:rPr>
        <w:t xml:space="preserve">soluble</w:t>
      </w:r>
      <w:r>
        <w:t xml:space="preserve">. A compound that does not dissolve, that stays as a solid, is</w:t>
      </w:r>
      <w:r>
        <w:t xml:space="preserve"> </w:t>
      </w:r>
      <w:r>
        <w:rPr>
          <w:b/>
          <w:bCs/>
        </w:rPr>
        <w:t xml:space="preserve">insoluble</w:t>
      </w:r>
      <w:r>
        <w:t xml:space="preserve">. The solid that forms and drops out when two solutions are mixed has its own name: a</w:t>
      </w:r>
      <w:r>
        <w:t xml:space="preserve"> </w:t>
      </w:r>
      <w:r>
        <w:rPr>
          <w:b/>
          <w:bCs/>
        </w:rPr>
        <w:t xml:space="preserve">precipitate</w:t>
      </w:r>
      <w:r>
        <w:t xml:space="preserve">. The whole lesson is one sentence —</w:t>
      </w:r>
      <w:r>
        <w:t xml:space="preserve"> </w:t>
      </w:r>
      <w:r>
        <w:rPr>
          <w:i/>
          <w:iCs/>
        </w:rPr>
        <w:t xml:space="preserve">when two solutions are mixed, a precipitate forms if a new ion pairing is insoluble.</w:t>
      </w:r>
      <w:r>
        <w:t xml:space="preserve">”</w:t>
      </w:r>
    </w:p>
    <w:p>
      <w:pPr>
        <w:pStyle w:val="BlockText"/>
      </w:pPr>
      <w:r>
        <w:t xml:space="preserve">“Here is the Hochman appositive move that locks the definition in. An appositive is a phrase set off by dashes that renames or defines the noun right before it. Say this with me:</w:t>
      </w:r>
    </w:p>
    <w:p>
      <w:pPr>
        <w:pStyle w:val="BlockText"/>
      </w:pPr>
      <w:r>
        <w:rPr>
          <w:i/>
          <w:iCs/>
        </w:rPr>
        <w:t xml:space="preserve">A precipitate — an insoluble solid that forms when two solutions are mixed — appears only when the new ion pairing cannot stay dissolved.</w:t>
      </w:r>
    </w:p>
    <w:p>
      <w:pPr>
        <w:pStyle w:val="BlockText"/>
      </w:pPr>
      <w:r>
        <w:t xml:space="preserve">The phrase between the dashes defines</w:t>
      </w:r>
      <w:r>
        <w:t xml:space="preserve"> </w:t>
      </w:r>
      <w:r>
        <w:t xml:space="preserve">‘precipitate’</w:t>
      </w:r>
      <w:r>
        <w:t xml:space="preserve"> </w:t>
      </w:r>
      <w:r>
        <w:t xml:space="preserve">inside the same sentence. You’ll use this structure on the Exit Ticket and in your notes.”</w:t>
      </w:r>
    </w:p>
    <w:p>
      <w:pPr>
        <w:pStyle w:val="BlockText"/>
      </w:pPr>
      <w:r>
        <w:t xml:space="preserve">“And the third word ties them together:</w:t>
      </w:r>
      <w:r>
        <w:t xml:space="preserve"> </w:t>
      </w:r>
      <w:r>
        <w:rPr>
          <w:b/>
          <w:bCs/>
        </w:rPr>
        <w:t xml:space="preserve">solubility</w:t>
      </w:r>
      <w:r>
        <w:t xml:space="preserve"> </w:t>
      </w:r>
      <w:r>
        <w:t xml:space="preserve">— how well a compound dissolves in water. A soluble compound has high solubility; an insoluble compound has solubility so low we call it</w:t>
      </w:r>
      <w:r>
        <w:t xml:space="preserve"> </w:t>
      </w:r>
      <w:r>
        <w:t xml:space="preserve">‘insoluble.’</w:t>
      </w:r>
      <w:r>
        <w:t xml:space="preserve"> </w:t>
      </w:r>
      <w:r>
        <w:t xml:space="preserve">The solubility table sorts every compound into soluble or insoluble, and the Table G curve we’ll read shows</w:t>
      </w:r>
      <w:r>
        <w:t xml:space="preserve"> </w:t>
      </w:r>
      <w:r>
        <w:rPr>
          <w:i/>
          <w:iCs/>
        </w:rPr>
        <w:t xml:space="preserve">how much</w:t>
      </w:r>
      <w:r>
        <w:t xml:space="preserve"> </w:t>
      </w:r>
      <w:r>
        <w:t xml:space="preserve">a soluble compound dissolves at each temperature.”</w:t>
      </w:r>
    </w:p>
    <w:p>
      <w:pPr>
        <w:pStyle w:val="FirstParagraph"/>
      </w:pPr>
      <w:r>
        <w:t xml:space="preserve">Post the three terms on the board. Students fill them in on their notes. Project the Table G figure for the quantitative connection:</w:t>
      </w:r>
    </w:p>
    <w:p>
      <w:pPr>
        <w:pStyle w:val="CaptionedFigure"/>
      </w:pPr>
      <w:r>
        <w:drawing>
          <wp:inline>
            <wp:extent cx="4700016" cy="3206496"/>
            <wp:effectExtent b="0" l="0" r="0" t="0"/>
            <wp:docPr descr="Line graph titled ‘Solubility vs. Temperature (Reference Table G)’ with temperature in degrees Celsius on the x-axis from 0 to 100 and solubility in grams of solute per 100 grams of water on the y-axis from 0 to about 250. Three curves are plotted with markers: a purple KNO₃ curve rising steeply from about 13 at 0 °C to about 246 at 100 °C; a blue NaCl curve that is nearly flat, staying near 36 to 39 across the whole temperature range; and an orange KClO₃ curve rising gradually from about 3 at 0 °C to about 57 at 100 °C." title="" id="30" name="Picture"/>
            <a:graphic>
              <a:graphicData uri="http://schemas.openxmlformats.org/drawingml/2006/picture">
                <pic:pic>
                  <pic:nvPicPr>
                    <pic:cNvPr descr="figures/solubility_curves.png" id="31" name="Picture"/>
                    <pic:cNvPicPr>
                      <a:picLocks noChangeArrowheads="1" noChangeAspect="1"/>
                    </pic:cNvPicPr>
                  </pic:nvPicPr>
                  <pic:blipFill>
                    <a:blip r:embed="rId29"/>
                    <a:stretch>
                      <a:fillRect/>
                    </a:stretch>
                  </pic:blipFill>
                  <pic:spPr bwMode="auto">
                    <a:xfrm>
                      <a:off x="0" y="0"/>
                      <a:ext cx="4700016"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‘Solubility vs. Temperature (Reference Table G)’</w:t>
      </w:r>
      <w:r>
        <w:t xml:space="preserve"> </w:t>
      </w:r>
      <w:r>
        <w:t xml:space="preserve">with temperature in degrees Celsius on the x-axis from 0 to 100 and solubility in grams of solute per 100 grams of water on the y-axis from 0 to about 250. Three curves are plotted with markers: a purple KNO₃ curve rising steeply from about 13 at 0 °C to about 246 at 100 °C; a blue NaCl curve that is nearly flat, staying near 36 to 39 across the whole temperature range; and an orange KClO₃ curve rising gradually from about 3 at 0 °C to about 57 at 100 °C.</w:t>
      </w:r>
    </w:p>
    <w:p>
      <w:pPr>
        <w:pStyle w:val="BodyText"/>
      </w:pPr>
      <w:r>
        <w:rPr>
          <w:b/>
          <w:bCs/>
        </w:rPr>
        <w:t xml:space="preserve">Discussion prompts to deploy here:</w:t>
      </w:r>
    </w:p>
    <w:p>
      <w:pPr>
        <w:pStyle w:val="Compact"/>
        <w:numPr>
          <w:ilvl w:val="0"/>
          <w:numId w:val="1010"/>
        </w:numPr>
      </w:pPr>
      <w:r>
        <w:t xml:space="preserve">“Soluble compounds are not all equally soluble. Look at the Table G curves — at 60 °C, how much KNO₃ dissolves in 100 g of water versus NaCl?”</w:t>
      </w:r>
      <w:r>
        <w:t xml:space="preserve"> </w:t>
      </w:r>
      <w:r>
        <w:t xml:space="preserve">—</w:t>
      </w:r>
      <w:r>
        <w:t xml:space="preserve"> </w:t>
      </w:r>
      <w:r>
        <w:rPr>
          <w:i/>
          <w:iCs/>
        </w:rPr>
        <w:t xml:space="preserve">Expected response:</w:t>
      </w:r>
      <w:r>
        <w:t xml:space="preserve"> </w:t>
      </w:r>
      <w:r>
        <w:t xml:space="preserve">about 110 g of KNO₃ but only about 37 g of NaCl. Both are soluble, but KNO₃ is far more soluble, and its solubility climbs steeply with temperature while NaCl barely changes.</w:t>
      </w:r>
    </w:p>
    <w:p>
      <w:pPr>
        <w:pStyle w:val="Compact"/>
        <w:numPr>
          <w:ilvl w:val="0"/>
          <w:numId w:val="1010"/>
        </w:numPr>
      </w:pPr>
      <w:r>
        <w:t xml:space="preserve">“Where do you look up whether AgCl is soluble or insoluble?”</w:t>
      </w:r>
      <w:r>
        <w:t xml:space="preserve"> </w:t>
      </w:r>
      <w:r>
        <w:t xml:space="preserve">—</w:t>
      </w:r>
      <w:r>
        <w:t xml:space="preserve"> </w:t>
      </w:r>
      <w:r>
        <w:rPr>
          <w:i/>
          <w:iCs/>
        </w:rPr>
        <w:t xml:space="preserve">Expected response:</w:t>
      </w:r>
      <w:r>
        <w:t xml:space="preserve"> </w:t>
      </w:r>
      <w:r>
        <w:t xml:space="preserve">the solubility-guidelines table (Reference Table F) — chlorides are soluble except with Ag⁺, Pb²⁺, Hg₂²⁺, so AgCl is insoluble.</w:t>
      </w:r>
    </w:p>
    <w:p>
      <w:r>
        <w:pict>
          <v:rect style="width:0;height:1.5pt" o:hralign="center" o:hrstd="t" o:hr="t"/>
        </w:pict>
      </w:r>
    </w:p>
    <w:bookmarkEnd w:id="32"/>
    <w:bookmarkEnd w:id="33"/>
    <w:bookmarkStart w:id="36" w:name="phase-4-elaborate-36-40-min"/>
    <w:p>
      <w:pPr>
        <w:pStyle w:val="Heading2"/>
      </w:pPr>
      <w:r>
        <w:t xml:space="preserve">Phase 4 · Elaborate</w:t>
      </w:r>
      <w:r>
        <w:t xml:space="preserve"> </w:t>
      </w:r>
      <w:r>
        <w:rPr>
          <w:i/>
          <w:iCs/>
        </w:rPr>
        <w:t xml:space="preserve">(36 – 40 min)</w:t>
      </w:r>
    </w:p>
    <w:bookmarkStart w:id="34" w:name="X6ebef350f3591cea26d17605b6358cf22dd1110"/>
    <w:p>
      <w:pPr>
        <w:pStyle w:val="Heading3"/>
      </w:pPr>
      <w:r>
        <w:t xml:space="preserve">36–39 min · Revise the model + Appositive + Because/But/So expansion</w:t>
      </w:r>
    </w:p>
    <w:p>
      <w:pPr>
        <w:pStyle w:val="FirstParagraph"/>
      </w:pPr>
      <w:r>
        <w:t xml:space="preserve">Students return to their Initial Model (the before/after particle sketch). They annotate it with vocabulary: label Pb²⁺ and I⁻ as forming the</w:t>
      </w:r>
      <w:r>
        <w:t xml:space="preserve"> </w:t>
      </w:r>
      <w:r>
        <w:rPr>
          <w:b/>
          <w:bCs/>
        </w:rPr>
        <w:t xml:space="preserve">precipitate</w:t>
      </w:r>
      <w:r>
        <w:t xml:space="preserve">, label the compound as</w:t>
      </w:r>
      <w:r>
        <w:t xml:space="preserve"> </w:t>
      </w:r>
      <w:r>
        <w:rPr>
          <w:b/>
          <w:bCs/>
        </w:rPr>
        <w:t xml:space="preserve">insoluble</w:t>
      </w:r>
      <w:r>
        <w:t xml:space="preserve">, and label K⁺ and NO₃⁻ as the dissolved (soluble) spectators. Then write an appositive sentence:</w:t>
      </w:r>
    </w:p>
    <w:p>
      <w:pPr>
        <w:pStyle w:val="BodyText"/>
      </w:pPr>
      <w:r>
        <w:rPr>
          <w:b/>
          <w:bCs/>
        </w:rPr>
        <w:t xml:space="preserve">Appositive sentence (model on board):</w:t>
      </w:r>
    </w:p>
    <w:p>
      <w:pPr>
        <w:pStyle w:val="BlockText"/>
      </w:pPr>
      <w:r>
        <w:rPr>
          <w:i/>
          <w:iCs/>
        </w:rPr>
        <w:t xml:space="preserve">“A precipitate — an insoluble solid that forms when two solutions are mixed — appears only when the new ion pairing cannot stay dissolved.”</w:t>
      </w:r>
    </w:p>
    <w:p>
      <w:pPr>
        <w:pStyle w:val="FirstParagraph"/>
      </w:pPr>
      <w:r>
        <w:t xml:space="preserve">Ask students to write a parallel appositive for a specific reaction:</w:t>
      </w:r>
    </w:p>
    <w:p>
      <w:pPr>
        <w:pStyle w:val="BlockText"/>
      </w:pPr>
      <w:r>
        <w:rPr>
          <w:i/>
          <w:iCs/>
        </w:rPr>
        <w:t xml:space="preserve">“Lead(II) iodide — ____________________ — forms when Pb²⁺ and I⁻ ions meet in solution.”</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“Mixing Pb(NO₃)₂ with KI forms a yellow solid, but mixing KI with NaNO₃ does not.”</w:t>
      </w:r>
    </w:p>
    <w:p>
      <w:pPr>
        <w:pStyle w:val="FirstParagraph"/>
      </w:pPr>
      <w:r>
        <w:t xml:space="preserve">Model one aloud:</w:t>
      </w:r>
    </w:p>
    <w:p>
      <w:pPr>
        <w:pStyle w:val="BlockText"/>
      </w:pPr>
      <w:r>
        <w:t xml:space="preserve">“Mixing Pb(NO₃)₂ with KI forms a yellow solid</w:t>
      </w:r>
      <w:r>
        <w:t xml:space="preserve"> </w:t>
      </w:r>
      <w:r>
        <w:rPr>
          <w:b/>
          <w:bCs/>
        </w:rPr>
        <w:t xml:space="preserve">because</w:t>
      </w:r>
      <w:r>
        <w:t xml:space="preserve"> </w:t>
      </w:r>
      <w:r>
        <w:t xml:space="preserve">the Pb²⁺ and I⁻ ions pair into lead(II) iodide, which the solubility table lists as insoluble —</w:t>
      </w:r>
      <w:r>
        <w:t xml:space="preserve"> </w:t>
      </w:r>
      <w:r>
        <w:rPr>
          <w:b/>
          <w:bCs/>
        </w:rPr>
        <w:t xml:space="preserve">but</w:t>
      </w:r>
      <w:r>
        <w:t xml:space="preserve"> </w:t>
      </w:r>
      <w:r>
        <w:t xml:space="preserve">mixing KI with NaNO₃ only produces KNO₃ and NaI, and the table lists both of those as soluble —</w:t>
      </w:r>
      <w:r>
        <w:t xml:space="preserve"> </w:t>
      </w:r>
      <w:r>
        <w:rPr>
          <w:b/>
          <w:bCs/>
        </w:rPr>
        <w:t xml:space="preserve">so</w:t>
      </w:r>
      <w:r>
        <w:t xml:space="preserve"> </w:t>
      </w:r>
      <w:r>
        <w:t xml:space="preserve">a precipitate forms only when the swapped ion pairing gives a compound the table calls insoluble.”</w:t>
      </w:r>
    </w:p>
    <w:p>
      <w:pPr>
        <w:pStyle w:val="FirstParagraph"/>
      </w:pPr>
      <w:r>
        <w:t xml:space="preserve">Then have students write their own B/B/S using one of these starters:</w:t>
      </w:r>
    </w:p>
    <w:p>
      <w:pPr>
        <w:pStyle w:val="Compact"/>
        <w:numPr>
          <w:ilvl w:val="0"/>
          <w:numId w:val="1011"/>
        </w:numPr>
      </w:pPr>
      <w:r>
        <w:rPr>
          <w:i/>
          <w:iCs/>
        </w:rPr>
        <w:t xml:space="preserve">“AgNO₃ mixed with NaCl forms a white precipitate, but AgNO₃ mixed with NaNO₃ stays clear…”</w:t>
      </w:r>
      <w:r>
        <w:t xml:space="preserve"> </w:t>
      </w:r>
      <w:r>
        <w:t xml:space="preserve">(hint: AgCl is insoluble; AgNO₃ and NaNO₃ are both soluble)</w:t>
      </w:r>
    </w:p>
    <w:p>
      <w:pPr>
        <w:pStyle w:val="Compact"/>
        <w:numPr>
          <w:ilvl w:val="0"/>
          <w:numId w:val="1011"/>
        </w:numPr>
      </w:pPr>
      <w:r>
        <w:rPr>
          <w:i/>
          <w:iCs/>
        </w:rPr>
        <w:t xml:space="preserve">“Na₂CO₃ mixed with CaCl₂ forms a white solid…”</w:t>
      </w:r>
      <w:r>
        <w:t xml:space="preserve"> </w:t>
      </w:r>
      <w:r>
        <w:t xml:space="preserve">(hint: CaCO₃ is an insoluble carbonate)</w:t>
      </w:r>
    </w:p>
    <w:p>
      <w:pPr>
        <w:pStyle w:val="FirstParagraph"/>
      </w:pPr>
      <w:r>
        <w:rPr>
          <w:b/>
          <w:bCs/>
        </w:rPr>
        <w:t xml:space="preserve">Anticipated student responses:</w:t>
      </w:r>
    </w:p>
    <w:p>
      <w:pPr>
        <w:pStyle w:val="Compact"/>
        <w:numPr>
          <w:ilvl w:val="0"/>
          <w:numId w:val="1012"/>
        </w:numPr>
      </w:pPr>
      <w:r>
        <w:t xml:space="preserve">“Because AgCl is on the</w:t>
      </w:r>
      <w:r>
        <w:t xml:space="preserve"> </w:t>
      </w:r>
      <w:r>
        <w:t xml:space="preserve">‘except’</w:t>
      </w:r>
      <w:r>
        <w:t xml:space="preserve"> </w:t>
      </w:r>
      <w:r>
        <w:t xml:space="preserve">list for chlorides.”</w:t>
      </w:r>
      <w:r>
        <w:t xml:space="preserve"> </w:t>
      </w:r>
      <w:r>
        <w:t xml:space="preserve">— good start; push for the full frame:</w:t>
      </w:r>
      <w:r>
        <w:t xml:space="preserve"> </w:t>
      </w:r>
      <w:r>
        <w:t xml:space="preserve">“because Ag⁺ and Cl⁻ pair into silver chloride, which the table lists as insoluble,</w:t>
      </w:r>
      <w:r>
        <w:t xml:space="preserve"> </w:t>
      </w:r>
      <w:r>
        <w:rPr>
          <w:i/>
          <w:iCs/>
        </w:rPr>
        <w:t xml:space="preserve">but</w:t>
      </w:r>
      <w:r>
        <w:t xml:space="preserve"> </w:t>
      </w:r>
      <w:r>
        <w:t xml:space="preserve">silver nitrate and sodium nitrate are both soluble,</w:t>
      </w:r>
      <w:r>
        <w:t xml:space="preserve"> </w:t>
      </w:r>
      <w:r>
        <w:rPr>
          <w:i/>
          <w:iCs/>
        </w:rPr>
        <w:t xml:space="preserve">so</w:t>
      </w:r>
      <w:r>
        <w:t xml:space="preserve"> </w:t>
      </w:r>
      <w:r>
        <w:t xml:space="preserve">only the first mix forms a precipitate.”</w:t>
      </w:r>
    </w:p>
    <w:p>
      <w:pPr>
        <w:pStyle w:val="Compact"/>
        <w:numPr>
          <w:ilvl w:val="0"/>
          <w:numId w:val="1012"/>
        </w:numPr>
      </w:pPr>
      <w:r>
        <w:t xml:space="preserve">“Because CaCO₃ is a carbonate and carbonates are insoluble unless they have Group 1 or ammonium.”</w:t>
      </w:r>
      <w:r>
        <w:t xml:space="preserve"> </w:t>
      </w:r>
      <w:r>
        <w:t xml:space="preserve">— excellent; that is the precise pattern. Push for the</w:t>
      </w:r>
      <w:r>
        <w:t xml:space="preserve"> </w:t>
      </w:r>
      <w:r>
        <w:rPr>
          <w:i/>
          <w:iCs/>
        </w:rPr>
        <w:t xml:space="preserve">so</w:t>
      </w:r>
      <w:r>
        <w:t xml:space="preserve">:</w:t>
      </w:r>
      <w:r>
        <w:t xml:space="preserve"> </w:t>
      </w:r>
      <w:r>
        <w:t xml:space="preserve">“so calcium carbonate drops out as a white solid while the NaCl stays dissolved.”</w:t>
      </w:r>
    </w:p>
    <w:bookmarkEnd w:id="34"/>
    <w:bookmarkStart w:id="35" w:name="min-return-to-the-phenomenon"/>
    <w:p>
      <w:pPr>
        <w:pStyle w:val="Heading3"/>
      </w:pPr>
      <w:r>
        <w:t xml:space="preserve">39–40 min · Return to the phenomenon</w:t>
      </w:r>
    </w:p>
    <w:p>
      <w:pPr>
        <w:pStyle w:val="BlockText"/>
      </w:pPr>
      <w:r>
        <w:t xml:space="preserve">“Return to our two beakers. Two clear liquids, and one pour made a yellow solid while the other stayed clear. Now you have the method: identify the ions, swap partners, check the table. Could you have predicted the yellow solid</w:t>
      </w:r>
      <w:r>
        <w:t xml:space="preserve"> </w:t>
      </w:r>
      <w:r>
        <w:rPr>
          <w:i/>
          <w:iCs/>
        </w:rPr>
        <w:t xml:space="preserve">before</w:t>
      </w:r>
      <w:r>
        <w:t xml:space="preserve"> </w:t>
      </w:r>
      <w:r>
        <w:t xml:space="preserve">I poured? What is the precipitate, and which ions were just spectators?”</w:t>
      </w:r>
    </w:p>
    <w:p>
      <w:pPr>
        <w:pStyle w:val="FirstParagraph"/>
      </w:pPr>
      <w:r>
        <w:t xml:space="preserve">Target: Pb(NO₃)₂ + KI → swap → KNO₃ (soluble) + PbI₂ (insoluble) → PbI₂ is the yellow precipitate; K⁺ and NO₃⁻ are the spectator ions that stayed dissolved.</w:t>
      </w:r>
    </w:p>
    <w:p>
      <w:pPr>
        <w:pStyle w:val="BlockText"/>
      </w:pPr>
      <w:r>
        <w:t xml:space="preserve">“That yellow solid wasn’t magic and it wasn’t new matter — it was two specific ions, invisible in solution, finding each other and forming a compound the table told us would be insoluble. The pattern in the table let you predict it before a single drop was poured. That is the whole power of a reference table: read the pattern, predict the outcome.”</w:t>
      </w:r>
    </w:p>
    <w:p>
      <w:r>
        <w:pict>
          <v:rect style="width:0;height:1.5pt" o:hralign="center" o:hrstd="t" o:hr="t"/>
        </w:pict>
      </w:r>
    </w:p>
    <w:bookmarkEnd w:id="35"/>
    <w:bookmarkEnd w:id="36"/>
    <w:bookmarkStart w:id="38" w:name="phase-5-evaluate-40-42-min"/>
    <w:p>
      <w:pPr>
        <w:pStyle w:val="Heading2"/>
      </w:pPr>
      <w:r>
        <w:t xml:space="preserve">Phase 5 · Evaluate</w:t>
      </w:r>
      <w:r>
        <w:t xml:space="preserve"> </w:t>
      </w:r>
      <w:r>
        <w:rPr>
          <w:i/>
          <w:iCs/>
        </w:rPr>
        <w:t xml:space="preserve">(40 – 42 min)</w:t>
      </w:r>
    </w:p>
    <w:bookmarkStart w:id="37"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Using the solubility-guidelines table, classify each compound as soluble or insoluble: (i) BaSO₄ (barium sulfate — sulfates are insoluble except with Group 1, NH₄⁺, and a few others including Ca²⁺ being slightly soluble); (ii) (NH₄)₂CO₃ (ammonium carbonate).</w:t>
      </w:r>
      <w:r>
        <w:t xml:space="preserve"> </w:t>
      </w:r>
      <w:r>
        <w:rPr>
          <w:i/>
          <w:iCs/>
        </w:rPr>
        <w:t xml:space="preserve">(b) A student mixes silver nitrate solution, AgNO₃(aq), with potassium chloride solution, KCl(aq). Predict whether a precipitate forms; if it does, name the precipitate.</w:t>
      </w:r>
      <w:r>
        <w:t xml:space="preserve"> </w:t>
      </w:r>
      <w:r>
        <w:rPr>
          <w:i/>
          <w:iCs/>
        </w:rPr>
        <w:t xml:space="preserve">(c) Using the Table G solubility curve, estimate how many grams of KNO₃ dissolve in 100 g of water at 40 °C.</w:t>
      </w:r>
    </w:p>
    <w:p>
      <w:pPr>
        <w:pStyle w:val="FirstParagraph"/>
      </w:pPr>
      <w:r>
        <w:t xml:space="preserve">Expected answers are in</w:t>
      </w:r>
      <w:r>
        <w:t xml:space="preserve"> </w:t>
      </w:r>
      <w:r>
        <w:rPr>
          <w:rStyle w:val="VerbatimChar"/>
        </w:rPr>
        <w:t xml:space="preserve">Answer_Key.docx</w:t>
      </w:r>
      <w:r>
        <w:t xml:space="preserve">. (The Exit Ticket uses BaSO₄, ammonium carbonate, the AgNO₃ + KCl pair, and a 40 °C KNO₃ reading — all</w:t>
      </w:r>
      <w:r>
        <w:t xml:space="preserve"> </w:t>
      </w:r>
      <w:r>
        <w:rPr>
          <w:i/>
          <w:iCs/>
        </w:rPr>
        <w:t xml:space="preserve">different</w:t>
      </w:r>
      <w:r>
        <w:t xml:space="preserve"> </w:t>
      </w:r>
      <w:r>
        <w:t xml:space="preserve">from the worksheet’s PbI₂/CaCO₃/AgCl practice and its 60 °C reading — so it checks transfer, not recall.)</w:t>
      </w:r>
    </w:p>
    <w:p>
      <w:pPr>
        <w:pStyle w:val="BodyText"/>
      </w:pPr>
      <w:r>
        <w:rPr>
          <w:b/>
          <w:bCs/>
        </w:rPr>
        <w:t xml:space="preserve">Closing Reflection (SEL, 30 seconds):</w:t>
      </w:r>
    </w:p>
    <w:p>
      <w:pPr>
        <w:pStyle w:val="BlockText"/>
      </w:pPr>
      <w:r>
        <w:t xml:space="preserve">“Today you learned to predict an invisible chemical outcome by reading a pattern off a table instead of memorizing it. In one sentence: what is one thing that surprised you about precipitation, and who — a partner or a moment in the simulation — helped you see it?”</w:t>
      </w:r>
    </w:p>
    <w:p>
      <w:pPr>
        <w:pStyle w:val="FirstParagraph"/>
      </w:pPr>
      <w:r>
        <w:t xml:space="preserve">Collect worksheets; note which students reliably swap partners and check</w:t>
      </w:r>
      <w:r>
        <w:t xml:space="preserve"> </w:t>
      </w:r>
      <w:r>
        <w:rPr>
          <w:i/>
          <w:iCs/>
        </w:rPr>
        <w:t xml:space="preserve">both</w:t>
      </w:r>
      <w:r>
        <w:t xml:space="preserve"> </w:t>
      </w:r>
      <w:r>
        <w:t xml:space="preserve">new compounds versus students who check only one and miss a precipitate. The swap-and-check-both step is the main procedural stumbling block — target those students for a brief one-on-one at the start of the next lesson.</w:t>
      </w:r>
    </w:p>
    <w:p>
      <w:r>
        <w:pict>
          <v:rect style="width:0;height:1.5pt" o:hralign="center" o:hrstd="t" o:hr="t"/>
        </w:pict>
      </w:r>
    </w:p>
    <w:bookmarkEnd w:id="37"/>
    <w:bookmarkEnd w:id="38"/>
    <w:bookmarkStart w:id="39" w:name="common-misconceptions"/>
    <w:p>
      <w:pPr>
        <w:pStyle w:val="Heading2"/>
      </w:pPr>
      <w:r>
        <w:t xml:space="preserve">Common Misconceptions</w:t>
      </w:r>
    </w:p>
    <w:p>
      <w:pPr>
        <w:pStyle w:val="Compact"/>
        <w:numPr>
          <w:ilvl w:val="0"/>
          <w:numId w:val="1013"/>
        </w:numPr>
      </w:pPr>
      <w:r>
        <w:rPr>
          <w:b/>
          <w:bCs/>
        </w:rPr>
        <w:t xml:space="preserve">Misconception:</w:t>
      </w:r>
      <w:r>
        <w:t xml:space="preserve"> </w:t>
      </w:r>
      <w:r>
        <w:t xml:space="preserve">“The solid was already in one of the liquids and just came out when mixed.”</w:t>
      </w:r>
      <w:r>
        <w:t xml:space="preserve"> </w:t>
      </w:r>
      <w:r>
        <w:t xml:space="preserve">→</w:t>
      </w:r>
      <w:r>
        <w:t xml:space="preserve"> </w:t>
      </w:r>
      <w:r>
        <w:rPr>
          <w:b/>
          <w:bCs/>
        </w:rPr>
        <w:t xml:space="preserve">Correction:</w:t>
      </w:r>
      <w:r>
        <w:t xml:space="preserve"> </w:t>
      </w:r>
      <w:r>
        <w:t xml:space="preserve">Both starting solutions are clear because their ions are fully dissolved and invisible. The solid does not exist until the two solutions meet and the reacting ions (e.g., Pb²⁺ and I⁻) combine. The particle model shows the same ions present</w:t>
      </w:r>
      <w:r>
        <w:t xml:space="preserve"> </w:t>
      </w:r>
      <w:r>
        <w:rPr>
          <w:i/>
          <w:iCs/>
        </w:rPr>
        <w:t xml:space="preserve">before</w:t>
      </w:r>
      <w:r>
        <w:t xml:space="preserve"> </w:t>
      </w:r>
      <w:r>
        <w:t xml:space="preserve">— but as free, separate, dissolved ions, not as a solid.</w:t>
      </w:r>
    </w:p>
    <w:p>
      <w:pPr>
        <w:pStyle w:val="Compact"/>
        <w:numPr>
          <w:ilvl w:val="0"/>
          <w:numId w:val="1013"/>
        </w:numPr>
      </w:pPr>
      <w:r>
        <w:rPr>
          <w:b/>
          <w:bCs/>
        </w:rPr>
        <w:t xml:space="preserve">Misconception:</w:t>
      </w:r>
      <w:r>
        <w:t xml:space="preserve"> </w:t>
      </w:r>
      <w:r>
        <w:t xml:space="preserve">“Mixing any two solutions makes a precipitate.”</w:t>
      </w:r>
      <w:r>
        <w:t xml:space="preserve"> </w:t>
      </w:r>
      <w:r>
        <w:t xml:space="preserve">→</w:t>
      </w:r>
      <w:r>
        <w:t xml:space="preserve"> </w:t>
      </w:r>
      <w:r>
        <w:rPr>
          <w:b/>
          <w:bCs/>
        </w:rPr>
        <w:t xml:space="preserve">Correction:</w:t>
      </w:r>
      <w:r>
        <w:t xml:space="preserve"> </w:t>
      </w:r>
      <w:r>
        <w:t xml:space="preserve">A precipitate forms only when a</w:t>
      </w:r>
      <w:r>
        <w:t xml:space="preserve"> </w:t>
      </w:r>
      <w:r>
        <w:rPr>
          <w:i/>
          <w:iCs/>
        </w:rPr>
        <w:t xml:space="preserve">new</w:t>
      </w:r>
      <w:r>
        <w:t xml:space="preserve"> </w:t>
      </w:r>
      <w:r>
        <w:t xml:space="preserve">ion pairing is insoluble. Many combinations (e.g., NaCl + KNO₃) produce only soluble pairings and stay perfectly clear. Whether a precipitate forms is predictable from the solubility table, not automatic.</w:t>
      </w:r>
    </w:p>
    <w:p>
      <w:pPr>
        <w:pStyle w:val="Compact"/>
        <w:numPr>
          <w:ilvl w:val="0"/>
          <w:numId w:val="1013"/>
        </w:numPr>
      </w:pPr>
      <w:r>
        <w:rPr>
          <w:b/>
          <w:bCs/>
        </w:rPr>
        <w:t xml:space="preserve">Misconception:</w:t>
      </w:r>
      <w:r>
        <w:t xml:space="preserve"> </w:t>
      </w:r>
      <w:r>
        <w:t xml:space="preserve">“You have to memorize every reaction to know what precipitates.”</w:t>
      </w:r>
      <w:r>
        <w:t xml:space="preserve"> </w:t>
      </w:r>
      <w:r>
        <w:t xml:space="preserve">→</w:t>
      </w:r>
      <w:r>
        <w:t xml:space="preserve"> </w:t>
      </w:r>
      <w:r>
        <w:rPr>
          <w:b/>
          <w:bCs/>
        </w:rPr>
        <w:t xml:space="preserve">Correction:</w:t>
      </w:r>
      <w:r>
        <w:t xml:space="preserve"> </w:t>
      </w:r>
      <w:r>
        <w:t xml:space="preserve">That is exactly what the solubility-guidelines table prevents. You read the rule for the ion involved (e.g.,</w:t>
      </w:r>
      <w:r>
        <w:t xml:space="preserve"> </w:t>
      </w:r>
      <w:r>
        <w:t xml:space="preserve">“iodides are soluble except with Ag⁺, Pb²⁺, Hg₂²⁺”</w:t>
      </w:r>
      <w:r>
        <w:t xml:space="preserve">) and apply it. One table covers every cation–anion pairing.</w:t>
      </w:r>
    </w:p>
    <w:p>
      <w:pPr>
        <w:pStyle w:val="Compact"/>
        <w:numPr>
          <w:ilvl w:val="0"/>
          <w:numId w:val="1013"/>
        </w:numPr>
      </w:pPr>
      <w:r>
        <w:rPr>
          <w:b/>
          <w:bCs/>
        </w:rPr>
        <w:t xml:space="preserve">Misconception:</w:t>
      </w:r>
      <w:r>
        <w:t xml:space="preserve"> </w:t>
      </w:r>
      <w:r>
        <w:t xml:space="preserve">“Soluble and insoluble are all-or-nothing, and soluble compounds all dissolve the same amount.”</w:t>
      </w:r>
      <w:r>
        <w:t xml:space="preserve"> </w:t>
      </w:r>
      <w:r>
        <w:t xml:space="preserve">→</w:t>
      </w:r>
      <w:r>
        <w:t xml:space="preserve"> </w:t>
      </w:r>
      <w:r>
        <w:rPr>
          <w:b/>
          <w:bCs/>
        </w:rPr>
        <w:t xml:space="preserve">Correction:</w:t>
      </w:r>
      <w:r>
        <w:t xml:space="preserve"> </w:t>
      </w:r>
      <w:r>
        <w:t xml:space="preserve">“Soluble”</w:t>
      </w:r>
      <w:r>
        <w:t xml:space="preserve"> </w:t>
      </w:r>
      <w:r>
        <w:t xml:space="preserve">means it dissolves well enough to count as dissolved;</w:t>
      </w:r>
      <w:r>
        <w:t xml:space="preserve"> </w:t>
      </w:r>
      <w:r>
        <w:t xml:space="preserve">“insoluble”</w:t>
      </w:r>
      <w:r>
        <w:t xml:space="preserve"> </w:t>
      </w:r>
      <w:r>
        <w:t xml:space="preserve">means so little dissolves it forms a solid. But among soluble compounds,</w:t>
      </w:r>
      <w:r>
        <w:t xml:space="preserve"> </w:t>
      </w:r>
      <w:r>
        <w:rPr>
          <w:i/>
          <w:iCs/>
        </w:rPr>
        <w:t xml:space="preserve">how much</w:t>
      </w:r>
      <w:r>
        <w:t xml:space="preserve"> </w:t>
      </w:r>
      <w:r>
        <w:t xml:space="preserve">dissolves varies a lot and depends on temperature — the Table G curves show KNO₃ dissolving far more than NaCl, and far more at high temperature than at low.</w:t>
      </w:r>
    </w:p>
    <w:p>
      <w:pPr>
        <w:pStyle w:val="Compact"/>
        <w:numPr>
          <w:ilvl w:val="0"/>
          <w:numId w:val="1013"/>
        </w:numPr>
      </w:pPr>
      <w:r>
        <w:rPr>
          <w:b/>
          <w:bCs/>
        </w:rPr>
        <w:t xml:space="preserve">Misconception:</w:t>
      </w:r>
      <w:r>
        <w:t xml:space="preserve"> </w:t>
      </w:r>
      <w:r>
        <w:t xml:space="preserve">“The spectator ions react too.”</w:t>
      </w:r>
      <w:r>
        <w:t xml:space="preserve"> </w:t>
      </w:r>
      <w:r>
        <w:t xml:space="preserve">→</w:t>
      </w:r>
      <w:r>
        <w:t xml:space="preserve"> </w:t>
      </w:r>
      <w:r>
        <w:rPr>
          <w:b/>
          <w:bCs/>
        </w:rPr>
        <w:t xml:space="preserve">Correction:</w:t>
      </w:r>
      <w:r>
        <w:t xml:space="preserve"> </w:t>
      </w:r>
      <w:r>
        <w:t xml:space="preserve">Spectator ions (here K⁺ and NO₃⁻) start dissolved and end dissolved — they do not change. Only the ions that form the insoluble compound leave the solution. Identifying which ions are spectators is part of reading the reaction correctly.</w:t>
      </w:r>
    </w:p>
    <w:p>
      <w:r>
        <w:pict>
          <v:rect style="width:0;height:1.5pt" o:hralign="center" o:hrstd="t" o:hr="t"/>
        </w:pict>
      </w:r>
    </w:p>
    <w:bookmarkEnd w:id="39"/>
    <w:bookmarkStart w:id="40" w:name="access-differentiation"/>
    <w:p>
      <w:pPr>
        <w:pStyle w:val="Heading2"/>
      </w:pPr>
      <w:r>
        <w:t xml:space="preserve">Access &amp; Differentiation</w:t>
      </w:r>
    </w:p>
    <w:p>
      <w:pPr>
        <w:pStyle w:val="Compact"/>
        <w:numPr>
          <w:ilvl w:val="0"/>
          <w:numId w:val="1014"/>
        </w:numPr>
      </w:pPr>
      <w:r>
        <w:rPr>
          <w:b/>
          <w:bCs/>
        </w:rPr>
        <w:t xml:space="preserve">ELL/ENL supports:</w:t>
      </w:r>
      <w:r>
        <w:t xml:space="preserve"> </w:t>
      </w:r>
      <w:r>
        <w:t xml:space="preserve">Sentence frames for the Investigation and Exit Ticket: *“When I mix ___ and</w:t>
      </w:r>
      <w:r>
        <w:t xml:space="preserve"> </w:t>
      </w:r>
      <w:r>
        <w:rPr>
          <w:b/>
          <w:bCs/>
          <w:i/>
          <w:iCs/>
        </w:rPr>
        <w:t xml:space="preserve">, the new pairings are</w:t>
      </w:r>
      <w:r>
        <w:rPr>
          <w:b/>
          <w:bCs/>
          <w:i/>
          <w:iCs/>
        </w:rPr>
        <w:t xml:space="preserve"> </w:t>
      </w:r>
      <w:r>
        <w:t xml:space="preserve"> </w:t>
      </w:r>
      <w:r>
        <w:t xml:space="preserve">and</w:t>
      </w:r>
      <w:r>
        <w:t xml:space="preserve"> </w:t>
      </w:r>
      <w:r>
        <w:rPr>
          <w:b/>
          <w:bCs/>
          <w:i/>
          <w:iCs/>
        </w:rPr>
        <w:t xml:space="preserve">. The table says</w:t>
      </w:r>
      <w:r>
        <w:rPr>
          <w:b/>
          <w:bCs/>
          <w:i/>
          <w:iCs/>
        </w:rPr>
        <w:t xml:space="preserve"> </w:t>
      </w:r>
      <w:r>
        <w:t xml:space="preserve"> </w:t>
      </w:r>
      <w:r>
        <w:t xml:space="preserve">is insoluble, so the precipitate is ___.”* and *“___ is soluble/insoluble because the rule for ___ says ___.”* Word-choice box displayed throughout: {soluble, insoluble, precipitate, solubility, spectator ion, swap partners}. Pair each vocabulary term with the particle figure (visual) so students connect the word to what they see. Allow a bilingual glossary for the ion names, but require findings recorded in English.</w:t>
      </w:r>
    </w:p>
    <w:p>
      <w:pPr>
        <w:pStyle w:val="Compact"/>
        <w:numPr>
          <w:ilvl w:val="0"/>
          <w:numId w:val="1014"/>
        </w:numPr>
      </w:pPr>
      <w:r>
        <w:rPr>
          <w:b/>
          <w:bCs/>
        </w:rPr>
        <w:t xml:space="preserve">IEP/SPED supports:</w:t>
      </w:r>
      <w:r>
        <w:t xml:space="preserve"> </w:t>
      </w:r>
      <w:r>
        <w:t xml:space="preserve">Provide a pre-filled solubility-rules reference card listing only the rules used today (Group 1 + NH₄⁺ soluble; nitrates soluble; chlorides soluble except Ag/Pb/Hg₂; iodides soluble except Ag/Pb/Hg₂; carbonates insoluble except Group 1/NH₄⁺) so the look-up is a scan, not a search. Offer a partner role split for the Javalab: one student runs the simulation, one records. Give a two-step</w:t>
      </w:r>
      <w:r>
        <w:t xml:space="preserve"> </w:t>
      </w:r>
      <w:r>
        <w:t xml:space="preserve">“swap and check”</w:t>
      </w:r>
      <w:r>
        <w:t xml:space="preserve"> </w:t>
      </w:r>
      <w:r>
        <w:t xml:space="preserve">checklist for each pairing: ☐ list four ions ☐ swap partners ☐ check each on card ☐ circle the insoluble one. Sentence starters for the Exit Ticket.</w:t>
      </w:r>
    </w:p>
    <w:p>
      <w:pPr>
        <w:pStyle w:val="Compact"/>
        <w:numPr>
          <w:ilvl w:val="0"/>
          <w:numId w:val="1014"/>
        </w:numPr>
      </w:pPr>
      <w:r>
        <w:rPr>
          <w:b/>
          <w:bCs/>
        </w:rPr>
        <w:t xml:space="preserve">Extensions:</w:t>
      </w:r>
      <w:r>
        <w:t xml:space="preserve"> </w:t>
      </w:r>
      <w:r>
        <w:t xml:space="preserve">(1) Predict the precipitate for three new pairings not run in class (e.g., BaCl₂ + Na₂SO₄; (NH₄)₂S + CuSO₄; Pb(NO₃)₂ + K₂CrO₄) and write the balanced double-replacement equation. (2) Use the Table G curve to determine the temperature at which KNO₃ and NaCl have the</w:t>
      </w:r>
      <w:r>
        <w:t xml:space="preserve"> </w:t>
      </w:r>
      <w:r>
        <w:rPr>
          <w:i/>
          <w:iCs/>
        </w:rPr>
        <w:t xml:space="preserve">same</w:t>
      </w:r>
      <w:r>
        <w:t xml:space="preserve"> </w:t>
      </w:r>
      <w:r>
        <w:t xml:space="preserve">solubility (about 22–23 °C, where the curves cross near 36 g/100 g). (3) Research why the lead(II) iodide demo waste must go to hazardous-waste disposal rather than down the drain — connect the answer to the toxicity of dissolved lead ions.</w:t>
      </w:r>
    </w:p>
    <w:p>
      <w:r>
        <w:pict>
          <v:rect style="width:0;height:1.5pt" o:hralign="center" o:hrstd="t" o:hr="t"/>
        </w:pict>
      </w:r>
    </w:p>
    <w:bookmarkEnd w:id="40"/>
    <w:bookmarkStart w:id="41"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The featured technique here is the</w:t>
      </w:r>
      <w:r>
        <w:t xml:space="preserve"> </w:t>
      </w:r>
      <w:r>
        <w:rPr>
          <w:b/>
          <w:bCs/>
        </w:rPr>
        <w:t xml:space="preserve">appositive</w:t>
      </w:r>
      <w:r>
        <w:t xml:space="preserve">, a noun phrase set off by dashes (or commas) that renames or defines the noun it follows. The appositive is ideal for a vocabulary-heavy science concept because it forces the student to embed the definition inside a real subject–verb sentence rather than reciting it in isolation.</w:t>
      </w:r>
    </w:p>
    <w:p>
      <w:pPr>
        <w:pStyle w:val="BodyText"/>
      </w:pPr>
      <w:r>
        <w:rPr>
          <w:b/>
          <w:bCs/>
        </w:rPr>
        <w:t xml:space="preserve">The target appositive for this lesson:</w:t>
      </w:r>
    </w:p>
    <w:p>
      <w:pPr>
        <w:pStyle w:val="BlockText"/>
      </w:pPr>
      <w:r>
        <w:rPr>
          <w:i/>
          <w:iCs/>
        </w:rPr>
        <w:t xml:space="preserve">A precipitate — an insoluble solid that forms when two solutions are mixed — appears only when the new ion pairing cannot stay dissolved.</w:t>
      </w:r>
    </w:p>
    <w:p>
      <w:pPr>
        <w:pStyle w:val="FirstParagraph"/>
      </w:pPr>
      <w:r>
        <w:t xml:space="preserve">This sentence does three things at once: (1) names the term, (2) defines it in a concise phrase between the dashes, and (3) states the condition (the main clause) under which it happens. A student who can write</w:t>
      </w:r>
      <w:r>
        <w:t xml:space="preserve"> </w:t>
      </w:r>
      <w:r>
        <w:rPr>
          <w:i/>
          <w:iCs/>
        </w:rPr>
        <w:t xml:space="preserve">and say</w:t>
      </w:r>
      <w:r>
        <w:t xml:space="preserve"> </w:t>
      </w:r>
      <w:r>
        <w:t xml:space="preserve">this sentence — not just recite</w:t>
      </w:r>
      <w:r>
        <w:t xml:space="preserve"> </w:t>
      </w:r>
      <w:r>
        <w:t xml:space="preserve">“a precipitate is a solid”</w:t>
      </w:r>
      <w:r>
        <w:t xml:space="preserve"> </w:t>
      </w:r>
      <w:r>
        <w:t xml:space="preserve">— has integrated the term into active vocabulary along with the rule that governs it.</w:t>
      </w:r>
    </w:p>
    <w:p>
      <w:pPr>
        <w:pStyle w:val="BodyText"/>
      </w:pPr>
      <w:r>
        <w:rPr>
          <w:b/>
          <w:bCs/>
        </w:rPr>
        <w:t xml:space="preserve">How to run it in this lesson (Phase 3 → Phase 4):</w:t>
      </w:r>
    </w:p>
    <w:p>
      <w:pPr>
        <w:pStyle w:val="Compact"/>
        <w:numPr>
          <w:ilvl w:val="0"/>
          <w:numId w:val="1015"/>
        </w:numPr>
      </w:pPr>
      <w:r>
        <w:t xml:space="preserve">Post and read aloud the model appositive together (Phase 3 vocabulary).</w:t>
      </w:r>
    </w:p>
    <w:p>
      <w:pPr>
        <w:pStyle w:val="Compact"/>
        <w:numPr>
          <w:ilvl w:val="0"/>
          <w:numId w:val="1015"/>
        </w:numPr>
      </w:pPr>
      <w:r>
        <w:t xml:space="preserve">Ask students to write a parallel appositive for a specific compound:</w:t>
      </w:r>
      <w:r>
        <w:t xml:space="preserve"> </w:t>
      </w:r>
      <w:r>
        <w:rPr>
          <w:i/>
          <w:iCs/>
        </w:rPr>
        <w:t xml:space="preserve">“Lead(II) iodide — an insoluble yellow solid — forms when Pb²⁺ and I⁻ ions meet in solution.”</w:t>
      </w:r>
      <w:r>
        <w:t xml:space="preserve"> </w:t>
      </w:r>
      <w:r>
        <w:t xml:space="preserve">This requires substituting in the concrete result from their own investigation, confirming that the abstract definition connects to what they observed.</w:t>
      </w:r>
    </w:p>
    <w:p>
      <w:pPr>
        <w:pStyle w:val="Compact"/>
        <w:numPr>
          <w:ilvl w:val="0"/>
          <w:numId w:val="1015"/>
        </w:numPr>
      </w:pPr>
      <w:r>
        <w:t xml:space="preserve">In Phase 4, students write their own appositive for a precipitate they predicted (AgCl or CaCO₃). Cold-call two or three; ask: does the appositive phrase correctly define the term? Does the main clause state the condition?</w:t>
      </w:r>
    </w:p>
    <w:p>
      <w:pPr>
        <w:pStyle w:val="FirstParagraph"/>
      </w:pPr>
      <w:r>
        <w:rPr>
          <w:b/>
          <w:bCs/>
        </w:rPr>
        <w:t xml:space="preserve">Why the appositive fits precipitation:</w:t>
      </w:r>
      <w:r>
        <w:t xml:space="preserve"> </w:t>
      </w:r>
      <w:r>
        <w:t xml:space="preserve">The danger with this topic is that students memorize</w:t>
      </w:r>
      <w:r>
        <w:t xml:space="preserve"> </w:t>
      </w:r>
      <w:r>
        <w:t xml:space="preserve">“lead iodide makes a yellow solid”</w:t>
      </w:r>
      <w:r>
        <w:t xml:space="preserve"> </w:t>
      </w:r>
      <w:r>
        <w:t xml:space="preserve">as an isolated fact. The appositive structure forces a</w:t>
      </w:r>
      <w:r>
        <w:t xml:space="preserve"> </w:t>
      </w:r>
      <w:r>
        <w:rPr>
          <w:i/>
          <w:iCs/>
        </w:rPr>
        <w:t xml:space="preserve">definition</w:t>
      </w:r>
      <w:r>
        <w:t xml:space="preserve"> </w:t>
      </w:r>
      <w:r>
        <w:t xml:space="preserve">(</w:t>
      </w:r>
      <w:r>
        <w:t xml:space="preserve">“an insoluble solid”</w:t>
      </w:r>
      <w:r>
        <w:t xml:space="preserve">) plus a</w:t>
      </w:r>
      <w:r>
        <w:t xml:space="preserve"> </w:t>
      </w:r>
      <w:r>
        <w:rPr>
          <w:i/>
          <w:iCs/>
        </w:rPr>
        <w:t xml:space="preserve">rule</w:t>
      </w:r>
      <w:r>
        <w:t xml:space="preserve"> </w:t>
      </w:r>
      <w:r>
        <w:t xml:space="preserve">(</w:t>
      </w:r>
      <w:r>
        <w:t xml:space="preserve">“when the new pairing cannot stay dissolved”</w:t>
      </w:r>
      <w:r>
        <w:t xml:space="preserve">), which generalizes to every precipitate, not just the demo. Students who write the appositive are far less likely to treat each reaction as a separate thing to memorize — the whole point of the Patterns CCC.</w:t>
      </w:r>
    </w:p>
    <w:p>
      <w:pPr>
        <w:pStyle w:val="BodyText"/>
      </w:pPr>
      <w:r>
        <w:rPr>
          <w:b/>
          <w:bCs/>
        </w:rPr>
        <w:t xml:space="preserve">CRSE connection:</w:t>
      </w:r>
      <w:r>
        <w:t xml:space="preserve"> </w:t>
      </w:r>
      <w:r>
        <w:t xml:space="preserve">The opening-circle prompt (two ordinary things combining into a surprise — paints, foods, cleaning products) invites students to bring their own kitchen and household experiences into a chemistry concept. The warning embedded in the cleaning-product example (never mix bleach and ammonia) is itself culturally important safety knowledge that many students carry from home; honoring it positions students’ lived experience as legitimate chemistry. Grounding precipitation in everyday</w:t>
      </w:r>
      <w:r>
        <w:t xml:space="preserve"> </w:t>
      </w:r>
      <w:r>
        <w:t xml:space="preserve">“two things combine into something new”</w:t>
      </w:r>
      <w:r>
        <w:t xml:space="preserve"> </w:t>
      </w:r>
      <w:r>
        <w:t xml:space="preserve">moments makes an abstract ionic process feel continuous with students’ real lives.</w:t>
      </w:r>
    </w:p>
    <w:p>
      <w:r>
        <w:pict>
          <v:rect style="width:0;height:1.5pt" o:hralign="center" o:hrstd="t" o:hr="t"/>
        </w:pict>
      </w:r>
    </w:p>
    <w:bookmarkEnd w:id="41"/>
    <w:bookmarkStart w:id="42"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clear liquids forming a yellow solid (Pb(NO₃)₂ + KI), with the clear-stays-clear contrast (KI + NaNO₃); revisited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what’s different about the two ion combinations?); Phase 3 (TT#2 — what was true of every solid-forming pair?)</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Javalab data collection; Initial Model particle sketch (before/after); group Investigation predicting from the solubility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(the</w:t>
            </w:r>
            <w:r>
              <w:t xml:space="preserve"> </w:t>
            </w:r>
            <w:r>
              <w:t xml:space="preserve">“troublemaker ion”</w:t>
            </w:r>
            <w:r>
              <w:t xml:space="preserve"> </w:t>
            </w:r>
            <w:r>
              <w:t xml:space="preserve">pattern), Phase 3 (vocabulary), and Phase 4 (B/B/S using the rule)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soluble / insoluble / precipitate (with solubility as the connecting umbrella term)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two-beaker demo and predict the PbI₂ precipitate using the table and particle model before</w:t>
            </w:r>
            <w:r>
              <w:t xml:space="preserve"> </w:t>
            </w:r>
            <w:r>
              <w:t xml:space="preserve">“the pour”</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pre-filled solubility-rules card, Javalab partner roles, swap-and-check checklist</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two compounds, predict AgNO₃ + KCl precipitate, read KNO₃ solubility at 40 °C from Table G)</w:t>
            </w:r>
          </w:p>
        </w:tc>
      </w:tr>
    </w:tbl>
    <w:p>
      <w:r>
        <w:pict>
          <v:rect style="width:0;height:1.5pt" o:hralign="center" o:hrstd="t" o:hr="t"/>
        </w:pict>
      </w:r>
    </w:p>
    <w:bookmarkEnd w:id="42"/>
    <w:bookmarkStart w:id="43" w:name="companion-materials"/>
    <w:p>
      <w:pPr>
        <w:pStyle w:val="Heading2"/>
      </w:pPr>
      <w:r>
        <w:t xml:space="preserve">Companion Materials</w:t>
      </w:r>
    </w:p>
    <w:p>
      <w:pPr>
        <w:pStyle w:val="Compact"/>
        <w:numPr>
          <w:ilvl w:val="0"/>
          <w:numId w:val="1016"/>
        </w:numPr>
      </w:pPr>
      <w:r>
        <w:rPr>
          <w:rStyle w:val="VerbatimChar"/>
        </w:rPr>
        <w:t xml:space="preserve">Student_Worksheet.docx</w:t>
      </w:r>
      <w:r>
        <w:t xml:space="preserve"> </w:t>
      </w:r>
      <w:r>
        <w:t xml:space="preserve">— the 5E student investigation (hand out at start of Phase 2)</w:t>
      </w:r>
    </w:p>
    <w:p>
      <w:pPr>
        <w:pStyle w:val="Compact"/>
        <w:numPr>
          <w:ilvl w:val="0"/>
          <w:numId w:val="1016"/>
        </w:numPr>
      </w:pPr>
      <w:r>
        <w:rPr>
          <w:rStyle w:val="VerbatimChar"/>
        </w:rPr>
        <w:t xml:space="preserve">Student_Notes.docx</w:t>
      </w:r>
      <w:r>
        <w:t xml:space="preserve"> </w:t>
      </w:r>
      <w:r>
        <w:t xml:space="preserve">— guided note-guide for vocabulary and the worked precipitation-prediction example</w:t>
      </w:r>
    </w:p>
    <w:p>
      <w:pPr>
        <w:pStyle w:val="Compact"/>
        <w:numPr>
          <w:ilvl w:val="0"/>
          <w:numId w:val="10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3"/>
    <w:bookmarkStart w:id="44" w:name="key-vocabulary-max-3"/>
    <w:p>
      <w:pPr>
        <w:pStyle w:val="Heading2"/>
      </w:pPr>
      <w:r>
        <w:t xml:space="preserve">Key Vocabulary (max 3)</w:t>
      </w:r>
    </w:p>
    <w:p>
      <w:pPr>
        <w:pStyle w:val="Compact"/>
        <w:numPr>
          <w:ilvl w:val="0"/>
          <w:numId w:val="1017"/>
        </w:numPr>
      </w:pPr>
      <w:r>
        <w:rPr>
          <w:b/>
          <w:bCs/>
        </w:rPr>
        <w:t xml:space="preserve">soluble</w:t>
      </w:r>
      <w:r>
        <w:t xml:space="preserve"> </w:t>
      </w:r>
      <w:r>
        <w:t xml:space="preserve">— describes a compound that dissolves in water, separating into free ions; the solubility-guidelines table lists which ion combinations are soluble (e.g., all Group 1 metal and nitrate compounds)</w:t>
      </w:r>
    </w:p>
    <w:p>
      <w:pPr>
        <w:pStyle w:val="Compact"/>
        <w:numPr>
          <w:ilvl w:val="0"/>
          <w:numId w:val="1017"/>
        </w:numPr>
      </w:pPr>
      <w:r>
        <w:rPr>
          <w:b/>
          <w:bCs/>
        </w:rPr>
        <w:t xml:space="preserve">insoluble</w:t>
      </w:r>
      <w:r>
        <w:t xml:space="preserve"> </w:t>
      </w:r>
      <w:r>
        <w:t xml:space="preserve">— describes a compound that does not dissolve in water and instead remains (or forms) as a solid; when two solutions are mixed, an insoluble product is the precipitate</w:t>
      </w:r>
    </w:p>
    <w:p>
      <w:pPr>
        <w:pStyle w:val="Compact"/>
        <w:numPr>
          <w:ilvl w:val="0"/>
          <w:numId w:val="1017"/>
        </w:numPr>
      </w:pPr>
      <w:r>
        <w:rPr>
          <w:b/>
          <w:bCs/>
        </w:rPr>
        <w:t xml:space="preserve">precipitate</w:t>
      </w:r>
      <w:r>
        <w:t xml:space="preserve"> </w:t>
      </w:r>
      <w:r>
        <w:t xml:space="preserve">— an insoluble solid that forms and separates from solution when two aqueous solutions are mixed, produced when a new cation–anion pairing cannot stay dissolved (e.g., PbI₂, AgCl, CaCO₃)</w:t>
      </w:r>
    </w:p>
    <w:bookmarkEnd w:id="44"/>
    <w:bookmarkEnd w:id="4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2026-06-01T19:45:39Z</dcterms:created>
  <dcterms:modified xsi:type="dcterms:W3CDTF">2026-06-01T19:45:39Z</dcterms:modified>
</cp:coreProperties>
</file>

<file path=docProps/custom.xml><?xml version="1.0" encoding="utf-8"?>
<Properties xmlns="http://schemas.openxmlformats.org/officeDocument/2006/custom-properties" xmlns:vt="http://schemas.openxmlformats.org/officeDocument/2006/docPropsVTypes"/>
</file>