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nuclear-chemistry-unit-plan"/>
    <w:p>
      <w:pPr>
        <w:pStyle w:val="Heading1"/>
      </w:pPr>
      <w:r>
        <w:t xml:space="preserve">Nuclear Chemistry — Unit Plan</w:t>
      </w:r>
    </w:p>
    <w:bookmarkStart w:id="9" w:name="cover"/>
    <w:p>
      <w:pPr>
        <w:pStyle w:val="Heading2"/>
      </w:pPr>
      <w:r>
        <w:t xml:space="preserve">Cover</w:t>
      </w:r>
    </w:p>
    <w:p>
      <w:pPr>
        <w:pStyle w:val="FirstParagraph"/>
      </w:pPr>
      <w:r>
        <w:rPr>
          <w:b/>
          <w:bCs/>
        </w:rPr>
        <w:t xml:space="preserve">Unit 6: Nuclear Chemistry</w:t>
      </w:r>
      <w:r>
        <w:t xml:space="preserve"> </w:t>
      </w:r>
      <w:r>
        <w:t xml:space="preserve">East Meadow Schools × Valley Stream Central High School District</w:t>
      </w:r>
      <w:r>
        <w:t xml:space="preserve"> </w:t>
      </w:r>
      <w:r>
        <w:t xml:space="preserve">4 lessons · ~4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takes students inside the nucleus, the one place where chemistry releases energy on the order of 10⁵–10⁶ times a chemical reaction. Students begin by modeling</w:t>
      </w:r>
      <w:r>
        <w:t xml:space="preserve"> </w:t>
      </w:r>
      <w:r>
        <w:rPr>
          <w:b/>
          <w:bCs/>
        </w:rPr>
        <w:t xml:space="preserve">radioactive decay</w:t>
      </w:r>
      <w:r>
        <w:t xml:space="preserve"> </w:t>
      </w:r>
      <w:r>
        <w:t xml:space="preserve">— reading an unstable nucleus, predicting its emitted particle (alpha, beta, positron, or gamma), and writing a balanced nuclear equation that conserves both mass number and atomic number. They generalize that modeling into the five nuclear processes of</w:t>
      </w:r>
      <w:r>
        <w:t xml:space="preserve"> </w:t>
      </w:r>
      <w:r>
        <w:rPr>
          <w:b/>
          <w:bCs/>
        </w:rPr>
        <w:t xml:space="preserve">transmutation</w:t>
      </w:r>
      <w:r>
        <w:t xml:space="preserve"> </w:t>
      </w:r>
      <w:r>
        <w:t xml:space="preserve">(fission, fusion, and α/β/γ decay), then quantify decay with</w:t>
      </w:r>
      <w:r>
        <w:t xml:space="preserve"> </w:t>
      </w:r>
      <w:r>
        <w:rPr>
          <w:b/>
          <w:bCs/>
        </w:rPr>
        <w:t xml:space="preserve">half-life</w:t>
      </w:r>
      <w:r>
        <w:t xml:space="preserve"> </w:t>
      </w:r>
      <w:r>
        <w:t xml:space="preserve">using Reference Table N. The unit closes by turning the science outward: students evaluate the validity and reliability of published claims about radiation to weigh the real benefits and real risks of nuclear technology like scientifically literate citizens. Conservation of matter and energy is the thread that runs from the first decay equation to the last community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Radioactivity</w:t>
            </w:r>
          </w:p>
        </w:tc>
        <w:tc>
          <w:tcPr/>
          <w:p>
            <w:pPr>
              <w:pStyle w:val="Compact"/>
            </w:pPr>
            <w:r>
              <w:t xml:space="preserve">Unstable nuclei decay spontaneously, emitting α/β/γ; balanced equations conserve mass number and atomic number</w:t>
            </w:r>
          </w:p>
        </w:tc>
      </w:tr>
      <w:tr>
        <w:tc>
          <w:tcPr/>
          <w:p>
            <w:pPr>
              <w:pStyle w:val="Compact"/>
            </w:pPr>
            <w:r>
              <w:t xml:space="preserve">02</w:t>
            </w:r>
          </w:p>
        </w:tc>
        <w:tc>
          <w:tcPr/>
          <w:p>
            <w:pPr>
              <w:pStyle w:val="Compact"/>
            </w:pPr>
            <w:r>
              <w:t xml:space="preserve">Transmutation Reactions</w:t>
            </w:r>
          </w:p>
        </w:tc>
        <w:tc>
          <w:tcPr/>
          <w:p>
            <w:pPr>
              <w:pStyle w:val="Compact"/>
            </w:pPr>
            <w:r>
              <w:t xml:space="preserve">One element becomes another via fission, fusion, or α/β/γ decay; nucleons and charge are conserved, energy is released</w:t>
            </w:r>
          </w:p>
        </w:tc>
      </w:tr>
      <w:tr>
        <w:tc>
          <w:tcPr/>
          <w:p>
            <w:pPr>
              <w:pStyle w:val="Compact"/>
            </w:pPr>
            <w:r>
              <w:t xml:space="preserve">03</w:t>
            </w:r>
          </w:p>
        </w:tc>
        <w:tc>
          <w:tcPr/>
          <w:p>
            <w:pPr>
              <w:pStyle w:val="Compact"/>
            </w:pPr>
            <w:r>
              <w:t xml:space="preserve">Half-Life</w:t>
            </w:r>
          </w:p>
        </w:tc>
        <w:tc>
          <w:tcPr/>
          <w:p>
            <w:pPr>
              <w:pStyle w:val="Compact"/>
            </w:pPr>
            <w:r>
              <w:t xml:space="preserve">Decay follows a fixed pattern; after n half-lives the fraction remaining is (1/2)ⁿ, read from Reference Table N</w:t>
            </w:r>
          </w:p>
        </w:tc>
      </w:tr>
      <w:tr>
        <w:tc>
          <w:tcPr/>
          <w:p>
            <w:pPr>
              <w:pStyle w:val="Compact"/>
            </w:pPr>
            <w:r>
              <w:t xml:space="preserve">04</w:t>
            </w:r>
          </w:p>
        </w:tc>
        <w:tc>
          <w:tcPr/>
          <w:p>
            <w:pPr>
              <w:pStyle w:val="Compact"/>
            </w:pPr>
            <w:r>
              <w:t xml:space="preserve">Benefits &amp; Risks of Nuclear Chemistry</w:t>
            </w:r>
          </w:p>
        </w:tc>
        <w:tc>
          <w:tcPr/>
          <w:p>
            <w:pPr>
              <w:pStyle w:val="Compact"/>
            </w:pPr>
            <w:r>
              <w:t xml:space="preserve">Evaluate the validity and reliability of published claims to weigh dose-dependent benefits against risks</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Radioactivity</w:t>
            </w:r>
          </w:p>
        </w:tc>
        <w:tc>
          <w:tcPr/>
          <w:p>
            <w:pPr>
              <w:pStyle w:val="Compact"/>
            </w:pPr>
            <w:r>
              <w:t xml:space="preserve">Becquerel’s uranium fogs film in a dark drawer; cloud-chamber tracks appear from</w:t>
            </w:r>
            <w:r>
              <w:t xml:space="preserve"> </w:t>
            </w:r>
            <w:r>
              <w:t xml:space="preserve">“empty”</w:t>
            </w:r>
            <w:r>
              <w:t xml:space="preserve"> </w:t>
            </w:r>
            <w:r>
              <w:t xml:space="preserve">air</w:t>
            </w:r>
          </w:p>
        </w:tc>
        <w:tc>
          <w:tcPr/>
          <w:p>
            <w:pPr>
              <w:pStyle w:val="Compact"/>
            </w:pPr>
            <w:r>
              <w:t xml:space="preserve">Active Learning (unit opener)</w:t>
            </w:r>
          </w:p>
        </w:tc>
      </w:tr>
      <w:tr>
        <w:tc>
          <w:tcPr/>
          <w:p>
            <w:pPr>
              <w:pStyle w:val="Compact"/>
            </w:pPr>
            <w:r>
              <w:t xml:space="preserve">2</w:t>
            </w:r>
          </w:p>
        </w:tc>
        <w:tc>
          <w:tcPr/>
          <w:p>
            <w:pPr>
              <w:pStyle w:val="Compact"/>
            </w:pPr>
            <w:r>
              <w:t xml:space="preserve">02 Transmutation Reactions</w:t>
            </w:r>
          </w:p>
        </w:tc>
        <w:tc>
          <w:tcPr/>
          <w:p>
            <w:pPr>
              <w:pStyle w:val="Compact"/>
            </w:pPr>
            <w:r>
              <w:t xml:space="preserve">The Sun fuses nuclei while a reactor splits them — opposite directions, both release enormous energy</w:t>
            </w:r>
          </w:p>
        </w:tc>
        <w:tc>
          <w:tcPr/>
          <w:p>
            <w:pPr>
              <w:pStyle w:val="Compact"/>
            </w:pPr>
            <w:r>
              <w:t xml:space="preserve">Hochman</w:t>
            </w:r>
          </w:p>
        </w:tc>
      </w:tr>
      <w:tr>
        <w:tc>
          <w:tcPr/>
          <w:p>
            <w:pPr>
              <w:pStyle w:val="Compact"/>
            </w:pPr>
            <w:r>
              <w:t xml:space="preserve">3</w:t>
            </w:r>
          </w:p>
        </w:tc>
        <w:tc>
          <w:tcPr/>
          <w:p>
            <w:pPr>
              <w:pStyle w:val="Compact"/>
            </w:pPr>
            <w:r>
              <w:t xml:space="preserve">03 Half-Life</w:t>
            </w:r>
          </w:p>
        </w:tc>
        <w:tc>
          <w:tcPr/>
          <w:p>
            <w:pPr>
              <w:pStyle w:val="Compact"/>
            </w:pPr>
            <w:r>
              <w:t xml:space="preserve">A 5,000-year-old artifact dated to within a century by carbon-14; a jar of 100 pennies halves each shake</w:t>
            </w:r>
          </w:p>
        </w:tc>
        <w:tc>
          <w:tcPr/>
          <w:p>
            <w:pPr>
              <w:pStyle w:val="Compact"/>
            </w:pPr>
            <w:r>
              <w:t xml:space="preserve">BTC</w:t>
            </w:r>
          </w:p>
        </w:tc>
      </w:tr>
      <w:tr>
        <w:tc>
          <w:tcPr/>
          <w:p>
            <w:pPr>
              <w:pStyle w:val="Compact"/>
            </w:pPr>
            <w:r>
              <w:t xml:space="preserve">4</w:t>
            </w:r>
          </w:p>
        </w:tc>
        <w:tc>
          <w:tcPr/>
          <w:p>
            <w:pPr>
              <w:pStyle w:val="Compact"/>
            </w:pPr>
            <w:r>
              <w:t xml:space="preserve">04 Benefits &amp; Risks of Nuclear Chemistry</w:t>
            </w:r>
          </w:p>
        </w:tc>
        <w:tc>
          <w:tcPr/>
          <w:p>
            <w:pPr>
              <w:pStyle w:val="Compact"/>
            </w:pPr>
            <w:r>
              <w:t xml:space="preserve">A proposed plant 15 miles from school splits the town; the same isotopes that worry it also cure cancer</w:t>
            </w:r>
          </w:p>
        </w:tc>
        <w:tc>
          <w:tcPr/>
          <w:p>
            <w:pPr>
              <w:pStyle w:val="Compact"/>
            </w:pPr>
            <w:r>
              <w:t xml:space="preserve">Active Learning</w:t>
            </w:r>
          </w:p>
        </w:tc>
      </w:tr>
    </w:tbl>
    <w:p>
      <w:pPr>
        <w:pStyle w:val="BodyText"/>
      </w:pPr>
      <w:r>
        <w:t xml:space="preserve">Double-period days (every other day) let the cloud-chamber investigation, the five-model equation portfolio, and the penny half-life simulation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opening SEL connection circle anchors every lesson (community check-in, 2–3 min); used in full form to open Lesson 01 as the unit’s entry point.</w:t>
      </w:r>
    </w:p>
    <w:p>
      <w:pPr>
        <w:pStyle w:val="Compact"/>
        <w:numPr>
          <w:ilvl w:val="0"/>
          <w:numId w:val="1001"/>
        </w:numPr>
      </w:pPr>
      <w:r>
        <w:rPr>
          <w:b/>
          <w:bCs/>
        </w:rPr>
        <w:t xml:space="preserve">ACTIVE LEARNING</w:t>
      </w:r>
      <w:r>
        <w:t xml:space="preserve">: Lessons 01, 04 (cloud-chamber Notice &amp; Wonder, shielding sort, and decay-equation card build in 01; case-study jigsaw and assigned-role structured debate in 04).</w:t>
      </w:r>
    </w:p>
    <w:p>
      <w:pPr>
        <w:pStyle w:val="Compact"/>
        <w:numPr>
          <w:ilvl w:val="0"/>
          <w:numId w:val="1001"/>
        </w:numPr>
      </w:pPr>
      <w:r>
        <w:rPr>
          <w:b/>
          <w:bCs/>
        </w:rPr>
        <w:t xml:space="preserve">HOCHMAN (literacy)</w:t>
      </w:r>
      <w:r>
        <w:t xml:space="preserve">: Lesson 02 (appositive sentence defining</w:t>
      </w:r>
      <w:r>
        <w:t xml:space="preserve"> </w:t>
      </w:r>
      <w:r>
        <w:rPr>
          <w:i/>
          <w:iCs/>
        </w:rPr>
        <w:t xml:space="preserve">transmutation</w:t>
      </w:r>
      <w:r>
        <w:t xml:space="preserve"> </w:t>
      </w:r>
      <w:r>
        <w:t xml:space="preserve">and binding it to the conservation rule).</w:t>
      </w:r>
    </w:p>
    <w:p>
      <w:pPr>
        <w:pStyle w:val="Compact"/>
        <w:numPr>
          <w:ilvl w:val="0"/>
          <w:numId w:val="1001"/>
        </w:numPr>
      </w:pPr>
      <w:r>
        <w:rPr>
          <w:b/>
          <w:bCs/>
        </w:rPr>
        <w:t xml:space="preserve">BTC (Building Thinking Classrooms)</w:t>
      </w:r>
      <w:r>
        <w:t xml:space="preserve">: Lesson 03 (random groups, vertical non-permanent surfaces, and thin-slice half-life problems before consolidation).</w:t>
      </w:r>
    </w:p>
    <w:p>
      <w:pPr>
        <w:pStyle w:val="FirstParagraph"/>
      </w:pPr>
      <w:r>
        <w:t xml:space="preserve">SEL (opening connection + closing reflection), ELL/SPED supports, and OPTIC/CER literacy appear in</w:t>
      </w:r>
      <w:r>
        <w:t xml:space="preserve"> </w:t>
      </w:r>
      <w:r>
        <w:rPr>
          <w:b/>
          <w:bCs/>
        </w:rPr>
        <w:t xml:space="preserve">every</w:t>
      </w:r>
      <w:r>
        <w:t xml:space="preserve"> </w:t>
      </w:r>
      <w:r>
        <w:t xml:space="preserve">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HS-PS1-8</w:t>
            </w:r>
          </w:p>
        </w:tc>
        <w:tc>
          <w:tcPr/>
          <w:p>
            <w:pPr>
              <w:pStyle w:val="Compact"/>
            </w:pPr>
            <w:r>
              <w:t xml:space="preserve">Develop models to illustrate the changes in nuclear composition and the energy released during fission, fusion, and radioactive decay</w:t>
            </w:r>
          </w:p>
        </w:tc>
        <w:tc>
          <w:tcPr/>
          <w:p>
            <w:pPr>
              <w:pStyle w:val="Compact"/>
            </w:pPr>
            <w:r>
              <w:t xml:space="preserve">01, 02, 03</w:t>
            </w:r>
          </w:p>
        </w:tc>
      </w:tr>
      <w:tr>
        <w:tc>
          <w:tcPr/>
          <w:p>
            <w:pPr>
              <w:pStyle w:val="Compact"/>
            </w:pPr>
            <w:r>
              <w:t xml:space="preserve">HS-PS4-4</w:t>
            </w:r>
          </w:p>
        </w:tc>
        <w:tc>
          <w:tcPr/>
          <w:p>
            <w:pPr>
              <w:pStyle w:val="Compact"/>
            </w:pPr>
            <w:r>
              <w:t xml:space="preserve">Evaluate the validity and reliability of claims in published materials about the effects of electromagnetic radiation absorbed by matter</w:t>
            </w:r>
          </w:p>
        </w:tc>
        <w:tc>
          <w:tcPr/>
          <w:p>
            <w:pPr>
              <w:pStyle w:val="Compact"/>
            </w:pPr>
            <w:r>
              <w:t xml:space="preserve">04</w:t>
            </w:r>
          </w:p>
        </w:tc>
      </w:tr>
      <w:tr>
        <w:tc>
          <w:tcPr/>
          <w:p>
            <w:pPr>
              <w:pStyle w:val="Compact"/>
            </w:pPr>
            <w:r>
              <w:t xml:space="preserve">Foundational (SEP/CCC)</w:t>
            </w:r>
          </w:p>
        </w:tc>
        <w:tc>
          <w:tcPr/>
          <w:p>
            <w:pPr>
              <w:pStyle w:val="Compact"/>
            </w:pPr>
            <w:r>
              <w:t xml:space="preserve">Energy &amp; Matter conservation in decay equations; Patterns in half-life; Cause &amp; Effect in dose-dependent radiation risk</w:t>
            </w:r>
          </w:p>
        </w:tc>
        <w:tc>
          <w:tcPr/>
          <w:p>
            <w:pPr>
              <w:pStyle w:val="Compact"/>
            </w:pPr>
            <w:r>
              <w:t xml:space="preserve">01, 03, 04</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radioactive decay · nuclear radiation · parent and daughter nuclide</w:t>
            </w:r>
          </w:p>
        </w:tc>
      </w:tr>
      <w:tr>
        <w:tc>
          <w:tcPr/>
          <w:p>
            <w:pPr>
              <w:pStyle w:val="Compact"/>
            </w:pPr>
            <w:r>
              <w:t xml:space="preserve">02</w:t>
            </w:r>
          </w:p>
        </w:tc>
        <w:tc>
          <w:tcPr/>
          <w:p>
            <w:pPr>
              <w:pStyle w:val="Compact"/>
            </w:pPr>
            <w:r>
              <w:t xml:space="preserve">transmutation · natural transmutation · artificial transmutation</w:t>
            </w:r>
          </w:p>
        </w:tc>
      </w:tr>
      <w:tr>
        <w:tc>
          <w:tcPr/>
          <w:p>
            <w:pPr>
              <w:pStyle w:val="Compact"/>
            </w:pPr>
            <w:r>
              <w:t xml:space="preserve">03</w:t>
            </w:r>
          </w:p>
        </w:tc>
        <w:tc>
          <w:tcPr/>
          <w:p>
            <w:pPr>
              <w:pStyle w:val="Compact"/>
            </w:pPr>
            <w:r>
              <w:t xml:space="preserve">half-life · radioactive decay · radioisotope</w:t>
            </w:r>
          </w:p>
        </w:tc>
      </w:tr>
      <w:tr>
        <w:tc>
          <w:tcPr/>
          <w:p>
            <w:pPr>
              <w:pStyle w:val="Compact"/>
            </w:pPr>
            <w:r>
              <w:t xml:space="preserve">04</w:t>
            </w:r>
          </w:p>
        </w:tc>
        <w:tc>
          <w:tcPr/>
          <w:p>
            <w:pPr>
              <w:pStyle w:val="Compact"/>
            </w:pPr>
            <w:r>
              <w:t xml:space="preserve">risk–benefit analysis · validity · reliability</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2026-06-01T19:45:26Z</dcterms:created>
  <dcterms:modified xsi:type="dcterms:W3CDTF">2026-06-01T19:45:26Z</dcterms:modified>
</cp:coreProperties>
</file>

<file path=docProps/custom.xml><?xml version="1.0" encoding="utf-8"?>
<Properties xmlns="http://schemas.openxmlformats.org/officeDocument/2006/custom-properties" xmlns:vt="http://schemas.openxmlformats.org/officeDocument/2006/docPropsVTypes"/>
</file>