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7: Periodic Table Organization and Periodic Trends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elements are organized on the periodic table and predict trends in atomic radius, ionization energy, and electronegativity across periods and down groups.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Radius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 the distance ________ the nuclei ________ two bonded ________ of the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Ionization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remove the ________ electron from ________ gaseous atom ________ its ground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Electronegativity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atom's ability ________ attract shared ________ in a ________ bond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horizontal row ________ the periodic ________ elements in ________ same period ________ the same ________ of energy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Group (Family)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vertical column ________ the periodic ________ elements in ________ same group ________ the same ________ of valence ________ and similar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Metallic Character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tendency of ________ element to ________ electrons and ________ properties of ________ (luster, conductivity,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Organization of the Periodic Table — Periods and Groups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Atomic Radius Trend — Across Periods and Down Groups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Ionization Energy Trend — Why It Takes More Energy Across a Period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Electronegativity Trend — The Pull on Bonding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Metallic Character and Its Relationship to Other Trends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Periodic Table Organization and Periodic Trends: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Periodic Table Organization and Periodic Trends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periodic table organization and periodic trends,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periodic table organization and periodic trends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