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2: Covalent Bonding: Electron Sharing and Lewis Structures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Covalent Bond Formation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Nitrogen gas (N2) makes up 78% of Earth's atmosphere and is extremely unreactive under normal conditions. However, at high temperatures and pressures (like in a car engine or during lightning), nitrogen reacts with oxygen to form nitrogen oxides (NOx), which are pollutants.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nitrogen gas is unreactive under normal conditions because of the type of covalent bond between its atoms, which is a___.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Draw the Lewis structure of N2, identify the bond type, and compare its bond energy to that of single and double bonds.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N2 has a___ bond, which requires approximately 945 kJ/mol of energy to break. This is much more than a single bond (~160 kJ/mol) because___. Under normal conditions, this energy is not available, so N2 remains stable. However, at high temperatures___.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