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6: Intermolecular Forces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identify the types of intermolecular forces present in a substance and rank them by strength to predict physical properties like boiling point.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Intermolecular Forces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relatively weak ________ of attraction ________ molecules (as ________ to intramolecular ________ within molecules)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London Dispersion Forces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Weak, temporary attractive ________ between all ________ caused by ________ uneven electron ________ strength increases ________ molecular size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Dipole-Dipole Forces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Attractive forces between ________ positive end ________ one polar ________ and the ________ end of ________ polar molecule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Hydrogen Bonding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strong type ________ dipole-dipole attraction ________ occurs when ________ is bonded ________ nitrogen, oxygen, ________ fluorine and ________ attracted to ________ lone pair ________ a nearby ________ O, or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Boiling Point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temperature at ________ the vapor ________ of a ________ equals atmospheric ________ higher IMF ________ leads to ________ boiling points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Intramolecular Bond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strong bond ________ a molecule ________ covalent, or ________ as opposed ________ weaker intermolecular ________ between molecules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Intermolecular vs. Intramolecular Forces — What's the Difference?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London Dispersion Forces — Present in Everything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Dipole-Dipole Forces — Polar Molecules Attract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Hydrogen Bonding — The Strongest IMF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Predicting Physical Properties from IMF Strength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Intermolecular Forces: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Intermolecular Forces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intermolecular forces,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intermolecular forces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