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hd w:fill="1F4E79" w:val="clear"/>
        <w:spacing w:before="80" w:after="40"/>
        <w:jc w:val="center"/>
      </w:pPr>
      <w:r>
        <w:rPr>
          <w:rFonts w:ascii="Calibri" w:hAnsi="Calibri"/>
          <w:b/>
          <w:i w:val="0"/>
          <w:color w:val="FFFFFF"/>
          <w:sz w:val="28"/>
          <w:u w:val="none"/>
        </w:rPr>
        <w:t>Chemistry</w:t>
        <w:br/>
      </w:r>
      <w:r>
        <w:rPr>
          <w:rFonts w:ascii="Calibri" w:hAnsi="Calibri"/>
          <w:b/>
          <w:i w:val="0"/>
          <w:color w:val="FFFFFF"/>
          <w:sz w:val="24"/>
          <w:u w:val="none"/>
        </w:rPr>
        <w:t>Unit 3: Chemical Bonding &amp; Molecular Structure</w:t>
        <w:br/>
        <w:t>Lesson 8: Bonding and Structure Unit Review</w:t>
        <w:br/>
      </w:r>
      <w:r>
        <w:rPr>
          <w:rFonts w:ascii="Calibri" w:hAnsi="Calibri"/>
          <w:b w:val="0"/>
          <w:i/>
          <w:color w:val="D6E4F0"/>
          <w:sz w:val="22"/>
          <w:u w:val="none"/>
        </w:rPr>
        <w:t>PE: HS-PS1-3, HS-PS2-6</w:t>
      </w:r>
    </w:p>
    <w:p>
      <w:pPr>
        <w:spacing w:before="160" w:after="80"/>
        <w:jc w:val="left"/>
      </w:pPr>
      <w:r>
        <w:rPr>
          <w:rFonts w:ascii="Calibri" w:hAnsi="Calibri"/>
          <w:b/>
          <w:i w:val="0"/>
          <w:color w:val="1F4E79"/>
          <w:sz w:val="24"/>
          <w:u w:val="none"/>
        </w:rPr>
        <w:t>Opening Circle (2-3 min)</w:t>
      </w:r>
    </w:p>
    <w:p>
      <w:pPr>
        <w:spacing w:before="80" w:after="80"/>
        <w:shd w:fill="D6E4F0" w:val="clear"/>
      </w:pPr>
      <w:r>
        <w:rPr>
          <w:rFonts w:ascii="Calibri" w:hAnsi="Calibri"/>
          <w:b/>
          <w:i w:val="0"/>
          <w:color w:val="1F4E79"/>
          <w:sz w:val="22"/>
          <w:u w:val="none"/>
        </w:rPr>
        <w:t xml:space="preserve">Community Prompt: </w:t>
      </w:r>
      <w:r>
        <w:rPr>
          <w:rFonts w:ascii="Calibri" w:hAnsi="Calibri"/>
          <w:b w:val="0"/>
          <w:i w:val="0"/>
          <w:color w:val="000000"/>
          <w:sz w:val="22"/>
          <w:u w:val="none"/>
        </w:rPr>
        <w:t>If you could explain one chemistry concept to someone who has never taken the class, which topic from this unit would you choose and why?</w:t>
      </w:r>
    </w:p>
    <w:p>
      <w:pPr>
        <w:spacing w:before="160" w:after="80"/>
        <w:jc w:val="left"/>
      </w:pPr>
      <w:r>
        <w:rPr>
          <w:rFonts w:ascii="Calibri" w:hAnsi="Calibri"/>
          <w:b/>
          <w:i w:val="0"/>
          <w:color w:val="1F4E79"/>
          <w:sz w:val="24"/>
          <w:u w:val="none"/>
        </w:rPr>
        <w:t>Do Now (3-5 min)</w:t>
      </w:r>
    </w:p>
    <w:p>
      <w:pPr>
        <w:spacing w:before="80" w:after="80"/>
        <w:shd w:fill="E2EFDA" w:val="clear"/>
      </w:pPr>
      <w:r>
        <w:rPr>
          <w:rFonts w:ascii="Calibri" w:hAnsi="Calibri"/>
          <w:b/>
          <w:i w:val="0"/>
          <w:color w:val="1F4E79"/>
          <w:sz w:val="22"/>
          <w:u w:val="none"/>
        </w:rPr>
        <w:t xml:space="preserve">Activity: </w:t>
      </w:r>
      <w:r>
        <w:rPr>
          <w:rFonts w:ascii="Calibri" w:hAnsi="Calibri"/>
          <w:b w:val="0"/>
          <w:i w:val="0"/>
          <w:color w:val="000000"/>
          <w:sz w:val="22"/>
          <w:u w:val="none"/>
        </w:rPr>
        <w:t>Quick review challenge: Classify each substance as ionic, metallic, molecular, or network covalent based on one clue. (a) Melts at 3500 degrees C, does not conduct. (b) Shiny, malleable, conducts. (c) Melts at 80 degrees C, dissolves in water. (d) Dissolves in water, conducts when dissolved, MP = 1074 degrees C.</w:t>
      </w:r>
    </w:p>
    <w:p>
      <w:pPr>
        <w:spacing w:before="40" w:after="40"/>
        <w:pBdr>
          <w:bottom w:val="single" w:sz="4" w:space="1" w:color="1F4E79"/>
        </w:pBdr>
      </w:pPr>
    </w:p>
    <w:p>
      <w:pPr>
        <w:spacing w:before="120" w:after="120"/>
        <w:jc w:val="left"/>
      </w:pPr>
      <w:r>
        <w:rPr>
          <w:rFonts w:ascii="Calibri" w:hAnsi="Calibri"/>
          <w:b/>
          <w:i w:val="0"/>
          <w:color w:val="1F4E79"/>
          <w:sz w:val="24"/>
          <w:u w:val="none"/>
        </w:rPr>
        <w:t xml:space="preserve">Learning Target: </w:t>
      </w:r>
      <w:r>
        <w:rPr>
          <w:rFonts w:ascii="Calibri" w:hAnsi="Calibri"/>
          <w:b/>
          <w:i w:val="0"/>
          <w:color w:val="000000"/>
          <w:sz w:val="24"/>
          <w:u w:val="none"/>
        </w:rPr>
        <w:t>At the end of 42 minutes I can analyze an unknown substance's properties and systematically determine its bond type, molecular geometry, polarity, and intermolecular forces.</w:t>
      </w:r>
    </w:p>
    <w:p>
      <w:pPr>
        <w:spacing w:before="40" w:after="40"/>
        <w:pBdr>
          <w:bottom w:val="single" w:sz="4" w:space="1" w:color="1F4E79"/>
        </w:pBdr>
      </w:pPr>
    </w:p>
    <w:p>
      <w:pPr>
        <w:spacing w:before="160" w:after="80"/>
        <w:jc w:val="left"/>
      </w:pPr>
      <w:r>
        <w:rPr>
          <w:rFonts w:ascii="Calibri" w:hAnsi="Calibri"/>
          <w:b/>
          <w:i w:val="0"/>
          <w:color w:val="1F4E79"/>
          <w:sz w:val="24"/>
          <w:u w:val="none"/>
        </w:rPr>
        <w:t>Standards Alignment</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1728"/>
            <w:shd w:fill="1F4E79" w:val="clear"/>
          </w:tcPr>
          <w:p>
            <w:pPr>
              <w:jc w:val="center"/>
            </w:pPr>
            <w:r/>
            <w:r>
              <w:rPr>
                <w:rFonts w:ascii="Calibri" w:hAnsi="Calibri"/>
                <w:b/>
                <w:i w:val="0"/>
                <w:color w:val="FFFFFF"/>
                <w:sz w:val="22"/>
                <w:u w:val="none"/>
              </w:rPr>
              <w:t>PE</w:t>
            </w:r>
          </w:p>
        </w:tc>
        <w:tc>
          <w:tcPr>
            <w:tcW w:type="dxa" w:w="2880"/>
            <w:shd w:fill="1F4E79" w:val="clear"/>
          </w:tcPr>
          <w:p>
            <w:pPr>
              <w:jc w:val="center"/>
            </w:pPr>
            <w:r/>
            <w:r>
              <w:rPr>
                <w:rFonts w:ascii="Calibri" w:hAnsi="Calibri"/>
                <w:b/>
                <w:i w:val="0"/>
                <w:color w:val="FFFFFF"/>
                <w:sz w:val="22"/>
                <w:u w:val="none"/>
              </w:rPr>
              <w:t>SEP</w:t>
            </w:r>
          </w:p>
        </w:tc>
        <w:tc>
          <w:tcPr>
            <w:tcW w:type="dxa" w:w="2160"/>
            <w:shd w:fill="1F4E79" w:val="clear"/>
          </w:tcPr>
          <w:p>
            <w:pPr>
              <w:jc w:val="center"/>
            </w:pPr>
            <w:r/>
            <w:r>
              <w:rPr>
                <w:rFonts w:ascii="Calibri" w:hAnsi="Calibri"/>
                <w:b/>
                <w:i w:val="0"/>
                <w:color w:val="FFFFFF"/>
                <w:sz w:val="22"/>
                <w:u w:val="none"/>
              </w:rPr>
              <w:t>CCC</w:t>
            </w:r>
          </w:p>
        </w:tc>
        <w:tc>
          <w:tcPr>
            <w:tcW w:type="dxa" w:w="3600"/>
            <w:shd w:fill="1F4E79" w:val="clear"/>
          </w:tcPr>
          <w:p>
            <w:pPr>
              <w:jc w:val="center"/>
            </w:pPr>
            <w:r/>
            <w:r>
              <w:rPr>
                <w:rFonts w:ascii="Calibri" w:hAnsi="Calibri"/>
                <w:b/>
                <w:i w:val="0"/>
                <w:color w:val="FFFFFF"/>
                <w:sz w:val="22"/>
                <w:u w:val="none"/>
              </w:rPr>
              <w:t>DCI</w:t>
            </w:r>
          </w:p>
        </w:tc>
      </w:tr>
      <w:tr>
        <w:tc>
          <w:tcPr>
            <w:tcW w:type="dxa" w:w="1728"/>
          </w:tcPr>
          <w:p>
            <w:r/>
            <w:r>
              <w:rPr>
                <w:rFonts w:ascii="Calibri" w:hAnsi="Calibri"/>
                <w:b w:val="0"/>
                <w:i w:val="0"/>
                <w:color w:val="000000"/>
                <w:sz w:val="22"/>
                <w:u w:val="none"/>
              </w:rPr>
              <w:t>HS-PS1-3</w:t>
              <w:br/>
              <w:t>HS-PS2-6</w:t>
            </w:r>
          </w:p>
        </w:tc>
        <w:tc>
          <w:tcPr>
            <w:tcW w:type="dxa" w:w="2880"/>
          </w:tcPr>
          <w:p>
            <w:r/>
            <w:r>
              <w:rPr>
                <w:rFonts w:ascii="Calibri" w:hAnsi="Calibri"/>
                <w:b w:val="0"/>
                <w:i w:val="0"/>
                <w:color w:val="000000"/>
                <w:sz w:val="22"/>
                <w:u w:val="none"/>
              </w:rPr>
              <w:t>Engaging in Argument from Evidence</w:t>
              <w:br/>
              <w:t>Constructing Explanations and Designing Solutions</w:t>
            </w:r>
          </w:p>
        </w:tc>
        <w:tc>
          <w:tcPr>
            <w:tcW w:type="dxa" w:w="2160"/>
          </w:tcPr>
          <w:p>
            <w:r/>
            <w:r>
              <w:rPr>
                <w:rFonts w:ascii="Calibri" w:hAnsi="Calibri"/>
                <w:b w:val="0"/>
                <w:i w:val="0"/>
                <w:color w:val="000000"/>
                <w:sz w:val="22"/>
                <w:u w:val="none"/>
              </w:rPr>
              <w:t>Structure and Function</w:t>
              <w:br/>
              <w:t>Cause and Effect</w:t>
            </w:r>
          </w:p>
        </w:tc>
        <w:tc>
          <w:tcPr>
            <w:tcW w:type="dxa" w:w="3600"/>
          </w:tcPr>
          <w:p>
            <w:r/>
            <w:r>
              <w:rPr>
                <w:rFonts w:ascii="Calibri" w:hAnsi="Calibri"/>
                <w:b w:val="0"/>
                <w:i w:val="0"/>
                <w:color w:val="000000"/>
                <w:sz w:val="22"/>
                <w:u w:val="none"/>
              </w:rPr>
              <w:t>PS1.A: Structure and Properties of Matter</w:t>
              <w:br/>
              <w:t>PS2.B: Types of Interactions</w:t>
            </w:r>
          </w:p>
        </w:tc>
      </w:tr>
    </w:tbl>
    <w:p/>
    <w:p>
      <w:pPr>
        <w:spacing w:before="160" w:after="80"/>
        <w:jc w:val="left"/>
      </w:pPr>
      <w:r>
        <w:rPr>
          <w:rFonts w:ascii="Calibri" w:hAnsi="Calibri"/>
          <w:b/>
          <w:i w:val="0"/>
          <w:color w:val="1F4E79"/>
          <w:sz w:val="24"/>
          <w:u w:val="none"/>
        </w:rPr>
        <w:t>Materials &amp; Preparation</w:t>
      </w:r>
    </w:p>
    <w:p>
      <w:pPr>
        <w:pStyle w:val="ListBullet"/>
        <w:spacing w:before="20" w:after="20"/>
      </w:pPr>
      <w:r>
        <w:rPr>
          <w:rFonts w:ascii="Calibri" w:hAnsi="Calibri"/>
          <w:b w:val="0"/>
          <w:i w:val="0"/>
          <w:color w:val="000000"/>
          <w:sz w:val="22"/>
          <w:u w:val="none"/>
        </w:rPr>
        <w:t>Unit 3 review packet (printed)</w:t>
      </w:r>
    </w:p>
    <w:p>
      <w:pPr>
        <w:pStyle w:val="ListBullet"/>
        <w:spacing w:before="20" w:after="20"/>
      </w:pPr>
      <w:r>
        <w:rPr>
          <w:rFonts w:ascii="Calibri" w:hAnsi="Calibri"/>
          <w:b w:val="0"/>
          <w:i w:val="0"/>
          <w:color w:val="000000"/>
          <w:sz w:val="22"/>
          <w:u w:val="none"/>
        </w:rPr>
        <w:t>Whiteboard and markers per student</w:t>
      </w:r>
    </w:p>
    <w:p>
      <w:pPr>
        <w:pStyle w:val="ListBullet"/>
        <w:spacing w:before="20" w:after="20"/>
      </w:pPr>
      <w:r>
        <w:rPr>
          <w:rFonts w:ascii="Calibri" w:hAnsi="Calibri"/>
          <w:b w:val="0"/>
          <w:i w:val="0"/>
          <w:color w:val="000000"/>
          <w:sz w:val="22"/>
          <w:u w:val="none"/>
        </w:rPr>
        <w:t>Substance mystery challenge cards (4 sets for group rotation)</w:t>
      </w:r>
    </w:p>
    <w:p>
      <w:pPr>
        <w:pStyle w:val="ListBullet"/>
        <w:spacing w:before="20" w:after="20"/>
      </w:pPr>
      <w:r>
        <w:rPr>
          <w:rFonts w:ascii="Calibri" w:hAnsi="Calibri"/>
          <w:b w:val="0"/>
          <w:i w:val="0"/>
          <w:color w:val="000000"/>
          <w:sz w:val="22"/>
          <w:u w:val="none"/>
        </w:rPr>
        <w:t>Reference table and periodic table (1 each per student)</w:t>
      </w:r>
    </w:p>
    <w:p>
      <w:pPr>
        <w:pStyle w:val="ListBullet"/>
        <w:spacing w:before="20" w:after="20"/>
      </w:pPr>
      <w:r>
        <w:rPr>
          <w:rFonts w:ascii="Calibri" w:hAnsi="Calibri"/>
          <w:b w:val="0"/>
          <w:i w:val="0"/>
          <w:color w:val="000000"/>
          <w:sz w:val="22"/>
          <w:u w:val="none"/>
        </w:rPr>
        <w:t>Bonding concept map template (printed)</w:t>
      </w:r>
    </w:p>
    <w:p>
      <w:pPr>
        <w:spacing w:before="160" w:after="80"/>
        <w:jc w:val="left"/>
      </w:pPr>
      <w:r>
        <w:rPr>
          <w:rFonts w:ascii="Calibri" w:hAnsi="Calibri"/>
          <w:b/>
          <w:i w:val="0"/>
          <w:color w:val="1F4E79"/>
          <w:sz w:val="24"/>
          <w:u w:val="none"/>
        </w:rPr>
        <w:t>5E Instructional Sequence</w:t>
      </w:r>
    </w:p>
    <w:p>
      <w:pPr>
        <w:spacing w:before="80" w:after="40"/>
      </w:pPr>
      <w:r>
        <w:rPr>
          <w:rFonts w:ascii="Calibri" w:hAnsi="Calibri"/>
          <w:b/>
          <w:i w:val="0"/>
          <w:color w:val="1F4E79"/>
          <w:sz w:val="22"/>
          <w:u w:val="none"/>
        </w:rPr>
        <w:t xml:space="preserve">Engage (5 min): </w:t>
      </w:r>
      <w:r>
        <w:rPr>
          <w:rFonts w:ascii="Calibri" w:hAnsi="Calibri"/>
          <w:b w:val="0"/>
          <w:i w:val="0"/>
          <w:color w:val="000000"/>
          <w:sz w:val="22"/>
          <w:u w:val="none"/>
        </w:rPr>
        <w:t>Present the 'Bonding Detective' challenge: A forensic scientist receives four unknown white powders from a crime scene. Using only property tests (melting point, conductivity, solubility, crystal structure), they must determine what each substance is. Today students will use the same logic to review all bonding concepts.</w:t>
      </w:r>
    </w:p>
    <w:p>
      <w:pPr>
        <w:spacing w:before="80" w:after="40"/>
      </w:pPr>
      <w:r>
        <w:rPr>
          <w:rFonts w:ascii="Calibri" w:hAnsi="Calibri"/>
          <w:b/>
          <w:i w:val="0"/>
          <w:color w:val="1F4E79"/>
          <w:sz w:val="22"/>
          <w:u w:val="none"/>
        </w:rPr>
        <w:t xml:space="preserve">Explore (12 min): </w:t>
      </w:r>
      <w:r>
        <w:rPr>
          <w:rFonts w:ascii="Calibri" w:hAnsi="Calibri"/>
          <w:b w:val="0"/>
          <w:i w:val="0"/>
          <w:color w:val="000000"/>
          <w:sz w:val="22"/>
          <w:u w:val="none"/>
        </w:rPr>
        <w:t>Station rotation review (4 stations, 3 min each): Station 1 — Lewis structure and geometry prediction for 3 molecules. Station 2 — Bond type classification (ionic, polar covalent, nonpolar covalent) for 6 atom pairs using electronegativity. Station 3 — IMF identification and boiling point ranking for 4 substances. Station 4 — Property-to-bonding deduction for 3 unknown substances.</w:t>
      </w:r>
    </w:p>
    <w:p>
      <w:pPr>
        <w:spacing w:before="80" w:after="40"/>
      </w:pPr>
      <w:r>
        <w:rPr>
          <w:rFonts w:ascii="Calibri" w:hAnsi="Calibri"/>
          <w:b/>
          <w:i w:val="0"/>
          <w:color w:val="1F4E79"/>
          <w:sz w:val="22"/>
          <w:u w:val="none"/>
        </w:rPr>
        <w:t xml:space="preserve">Explain (8 min): </w:t>
      </w:r>
      <w:r>
        <w:rPr>
          <w:rFonts w:ascii="Calibri" w:hAnsi="Calibri"/>
          <w:b w:val="0"/>
          <w:i w:val="0"/>
          <w:color w:val="000000"/>
          <w:sz w:val="22"/>
          <w:u w:val="none"/>
        </w:rPr>
        <w:t>Class review and discussion of commonly confused concepts: (1) Bond polarity vs. molecular polarity (CO2 has polar bonds but is nonpolar). (2) IMFs vs. intramolecular bonds (boiling breaks IMFs, not covalent bonds). (3) Why ionic compounds have high melting points but molecular compounds do not (lattice of ions vs. weak IMFs between molecules). Address student questions from station work.</w:t>
      </w:r>
    </w:p>
    <w:p>
      <w:pPr>
        <w:spacing w:before="80" w:after="40"/>
      </w:pPr>
      <w:r>
        <w:rPr>
          <w:rFonts w:ascii="Calibri" w:hAnsi="Calibri"/>
          <w:b/>
          <w:i w:val="0"/>
          <w:color w:val="1F4E79"/>
          <w:sz w:val="22"/>
          <w:u w:val="none"/>
        </w:rPr>
        <w:t xml:space="preserve">Elaborate (8 min): </w:t>
      </w:r>
      <w:r>
        <w:rPr>
          <w:rFonts w:ascii="Calibri" w:hAnsi="Calibri"/>
          <w:b w:val="0"/>
          <w:i w:val="0"/>
          <w:color w:val="000000"/>
          <w:sz w:val="22"/>
          <w:u w:val="none"/>
        </w:rPr>
        <w:t>Concept map construction: Students create a concept map connecting all major terms from the unit: ionic bond, covalent bond, metallic bond, Lewis structure, VSEPR, molecular geometry, polarity, LDFs, dipole-dipole, hydrogen bonding, melting point, conductivity, solubility. They must use linking phrases to show relationships (e.g., 'determines' 'is caused by' 'leads to').</w:t>
      </w:r>
    </w:p>
    <w:p>
      <w:pPr>
        <w:spacing w:before="80" w:after="40"/>
      </w:pPr>
      <w:r>
        <w:rPr>
          <w:rFonts w:ascii="Calibri" w:hAnsi="Calibri"/>
          <w:b/>
          <w:i w:val="0"/>
          <w:color w:val="1F4E79"/>
          <w:sz w:val="22"/>
          <w:u w:val="none"/>
        </w:rPr>
        <w:t xml:space="preserve">Evaluate (9 min): </w:t>
      </w:r>
      <w:r>
        <w:rPr>
          <w:rFonts w:ascii="Calibri" w:hAnsi="Calibri"/>
          <w:b w:val="0"/>
          <w:i w:val="0"/>
          <w:color w:val="000000"/>
          <w:sz w:val="22"/>
          <w:u w:val="none"/>
        </w:rPr>
        <w:t>Regents-style practice cluster: Students answer a 5-question cluster similar to the smartphone chemistry sample cluster, combining bonding, polarity, IMFs, and property predictions around a real-world phenomenon (materials in a water bottle: HDPE plastic, glass, stainless steel, and the water inside).</w:t>
      </w:r>
    </w:p>
    <w:p/>
    <w:p>
      <w:pPr>
        <w:spacing w:before="160" w:after="80"/>
        <w:jc w:val="left"/>
      </w:pPr>
      <w:r>
        <w:rPr>
          <w:rFonts w:ascii="Calibri" w:hAnsi="Calibri"/>
          <w:b/>
          <w:i w:val="0"/>
          <w:color w:val="1F4E79"/>
          <w:sz w:val="24"/>
          <w:u w:val="none"/>
        </w:rPr>
        <w:t>Differentiation</w:t>
      </w:r>
    </w:p>
    <w:tbl>
      <w:tblPr>
        <w:tblStyle w:val="TableGrid"/>
        <w:tblW w:type="auto" w:w="0"/>
        <w:jc w:val="center"/>
        <w:tblLook w:firstColumn="1" w:firstRow="1" w:lastColumn="0" w:lastRow="0" w:noHBand="0" w:noVBand="1" w:val="04A0"/>
      </w:tblPr>
      <w:tblGrid>
        <w:gridCol w:w="5040"/>
        <w:gridCol w:w="5040"/>
      </w:tblGrid>
      <w:tr>
        <w:tc>
          <w:tcPr>
            <w:tcW w:type="dxa" w:w="2160"/>
            <w:shd w:fill="1F4E79" w:val="clear"/>
          </w:tcPr>
          <w:p>
            <w:pPr>
              <w:jc w:val="center"/>
            </w:pPr>
            <w:r/>
            <w:r>
              <w:rPr>
                <w:rFonts w:ascii="Calibri" w:hAnsi="Calibri"/>
                <w:b/>
                <w:i w:val="0"/>
                <w:color w:val="FFFFFF"/>
                <w:sz w:val="22"/>
                <w:u w:val="none"/>
              </w:rPr>
              <w:t>Level</w:t>
            </w:r>
          </w:p>
        </w:tc>
        <w:tc>
          <w:tcPr>
            <w:tcW w:type="dxa" w:w="7920"/>
            <w:shd w:fill="1F4E79" w:val="clear"/>
          </w:tcPr>
          <w:p>
            <w:pPr>
              <w:jc w:val="center"/>
            </w:pPr>
            <w:r/>
            <w:r>
              <w:rPr>
                <w:rFonts w:ascii="Calibri" w:hAnsi="Calibri"/>
                <w:b/>
                <w:i w:val="0"/>
                <w:color w:val="FFFFFF"/>
                <w:sz w:val="22"/>
                <w:u w:val="none"/>
              </w:rPr>
              <w:t>Accommodations / Modifications</w:t>
            </w:r>
          </w:p>
        </w:tc>
      </w:tr>
      <w:tr>
        <w:tc>
          <w:tcPr>
            <w:tcW w:type="dxa" w:w="2160"/>
          </w:tcPr>
          <w:p>
            <w:r/>
            <w:r>
              <w:rPr>
                <w:rFonts w:ascii="Calibri" w:hAnsi="Calibri"/>
                <w:b w:val="0"/>
                <w:i w:val="0"/>
                <w:color w:val="000000"/>
                <w:sz w:val="22"/>
                <w:u w:val="none"/>
              </w:rPr>
              <w:t>Approaching</w:t>
            </w:r>
          </w:p>
        </w:tc>
        <w:tc>
          <w:tcPr>
            <w:tcW w:type="dxa" w:w="7920"/>
          </w:tcPr>
          <w:p>
            <w:r/>
            <w:r>
              <w:rPr>
                <w:rFonts w:ascii="Calibri" w:hAnsi="Calibri"/>
                <w:b w:val="0"/>
                <w:i w:val="0"/>
                <w:color w:val="000000"/>
                <w:sz w:val="22"/>
                <w:u w:val="none"/>
              </w:rPr>
              <w:t>Provide a partially completed concept map with key terms placed and some linking phrases filled in; include a unit summary reference sheet organized by topic for use during stations.</w:t>
            </w:r>
          </w:p>
        </w:tc>
      </w:tr>
      <w:tr>
        <w:tc>
          <w:tcPr>
            <w:tcW w:type="dxa" w:w="2160"/>
            <w:shd w:fill="F2F2F2" w:val="clear"/>
          </w:tcPr>
          <w:p>
            <w:r/>
            <w:r>
              <w:rPr>
                <w:rFonts w:ascii="Calibri" w:hAnsi="Calibri"/>
                <w:b w:val="0"/>
                <w:i w:val="0"/>
                <w:color w:val="000000"/>
                <w:sz w:val="22"/>
                <w:u w:val="none"/>
              </w:rPr>
              <w:t>On-Level</w:t>
            </w:r>
          </w:p>
        </w:tc>
        <w:tc>
          <w:tcPr>
            <w:tcW w:type="dxa" w:w="7920"/>
            <w:shd w:fill="F2F2F2" w:val="clear"/>
          </w:tcPr>
          <w:p>
            <w:r/>
            <w:r>
              <w:rPr>
                <w:rFonts w:ascii="Calibri" w:hAnsi="Calibri"/>
                <w:b w:val="0"/>
                <w:i w:val="0"/>
                <w:color w:val="000000"/>
                <w:sz w:val="22"/>
                <w:u w:val="none"/>
              </w:rPr>
              <w:t>Complete station rotation, concept map, and practice cluster as designed.</w:t>
            </w:r>
          </w:p>
        </w:tc>
      </w:tr>
      <w:tr>
        <w:tc>
          <w:tcPr>
            <w:tcW w:type="dxa" w:w="2160"/>
          </w:tcPr>
          <w:p>
            <w:r/>
            <w:r>
              <w:rPr>
                <w:rFonts w:ascii="Calibri" w:hAnsi="Calibri"/>
                <w:b w:val="0"/>
                <w:i w:val="0"/>
                <w:color w:val="000000"/>
                <w:sz w:val="22"/>
                <w:u w:val="none"/>
              </w:rPr>
              <w:t>Advanced</w:t>
            </w:r>
          </w:p>
        </w:tc>
        <w:tc>
          <w:tcPr>
            <w:tcW w:type="dxa" w:w="7920"/>
          </w:tcPr>
          <w:p>
            <w:r/>
            <w:r>
              <w:rPr>
                <w:rFonts w:ascii="Calibri" w:hAnsi="Calibri"/>
                <w:b w:val="0"/>
                <w:i w:val="0"/>
                <w:color w:val="000000"/>
                <w:sz w:val="22"/>
                <w:u w:val="none"/>
              </w:rPr>
              <w:t>After completing the practice cluster, students write their own 3-question cluster around a new phenomenon (e.g., why does hand sanitizer evaporate so quickly? Why is stainless steel used for surgical tools?) and include an answer key.</w:t>
            </w:r>
          </w:p>
        </w:tc>
      </w:tr>
      <w:tr>
        <w:tc>
          <w:tcPr>
            <w:tcW w:type="dxa" w:w="2160"/>
            <w:shd w:fill="F2F2F2" w:val="clear"/>
          </w:tcPr>
          <w:p>
            <w:r/>
            <w:r>
              <w:rPr>
                <w:rFonts w:ascii="Calibri" w:hAnsi="Calibri"/>
                <w:b w:val="0"/>
                <w:i w:val="0"/>
                <w:color w:val="000000"/>
                <w:sz w:val="22"/>
                <w:u w:val="none"/>
              </w:rPr>
              <w:t>ELL</w:t>
            </w:r>
          </w:p>
        </w:tc>
        <w:tc>
          <w:tcPr>
            <w:tcW w:type="dxa" w:w="7920"/>
            <w:shd w:fill="F2F2F2" w:val="clear"/>
          </w:tcPr>
          <w:p>
            <w:r/>
            <w:r>
              <w:rPr>
                <w:rFonts w:ascii="Calibri" w:hAnsi="Calibri"/>
                <w:b w:val="0"/>
                <w:i w:val="0"/>
                <w:color w:val="000000"/>
                <w:sz w:val="22"/>
                <w:u w:val="none"/>
              </w:rPr>
              <w:t>Provide concept map terms as pre-cut cards that students arrange and connect with arrows; include bilingual linking phrases; allow verbal explanation of concept map relationships.</w:t>
            </w:r>
          </w:p>
        </w:tc>
      </w:tr>
      <w:tr>
        <w:tc>
          <w:tcPr>
            <w:tcW w:type="dxa" w:w="2160"/>
          </w:tcPr>
          <w:p>
            <w:r/>
            <w:r>
              <w:rPr>
                <w:rFonts w:ascii="Calibri" w:hAnsi="Calibri"/>
                <w:b w:val="0"/>
                <w:i w:val="0"/>
                <w:color w:val="000000"/>
                <w:sz w:val="22"/>
                <w:u w:val="none"/>
              </w:rPr>
              <w:t>IEP</w:t>
            </w:r>
          </w:p>
        </w:tc>
        <w:tc>
          <w:tcPr>
            <w:tcW w:type="dxa" w:w="7920"/>
          </w:tcPr>
          <w:p>
            <w:r/>
            <w:r>
              <w:rPr>
                <w:rFonts w:ascii="Calibri" w:hAnsi="Calibri"/>
                <w:b w:val="0"/>
                <w:i w:val="0"/>
                <w:color w:val="000000"/>
                <w:sz w:val="22"/>
                <w:u w:val="none"/>
              </w:rPr>
              <w:t>Reduce stations from 4 to 3 with extended time; provide a completed concept map as a study reference; break the practice cluster into individual questions with reference materials available.</w:t>
            </w:r>
          </w:p>
        </w:tc>
      </w:tr>
    </w:tbl>
    <w:p/>
    <w:p>
      <w:pPr>
        <w:spacing w:before="160" w:after="80"/>
        <w:jc w:val="left"/>
      </w:pPr>
      <w:r>
        <w:rPr>
          <w:rFonts w:ascii="Calibri" w:hAnsi="Calibri"/>
          <w:b/>
          <w:i w:val="0"/>
          <w:color w:val="1F4E79"/>
          <w:sz w:val="24"/>
          <w:u w:val="none"/>
        </w:rPr>
        <w:t>CRSE Connections</w:t>
      </w:r>
    </w:p>
    <w:p>
      <w:pPr>
        <w:spacing w:before="80" w:after="80"/>
        <w:shd w:fill="E2EFDA" w:val="clear"/>
      </w:pPr>
      <w:r>
        <w:rPr>
          <w:rFonts w:ascii="Calibri" w:hAnsi="Calibri"/>
          <w:b/>
          <w:i w:val="0"/>
          <w:color w:val="1F4E79"/>
          <w:sz w:val="22"/>
          <w:u w:val="none"/>
        </w:rPr>
        <w:t xml:space="preserve">Culturally Responsive-Sustaining Education: </w:t>
      </w:r>
      <w:r>
        <w:rPr>
          <w:rFonts w:ascii="Calibri" w:hAnsi="Calibri"/>
          <w:b w:val="0"/>
          <w:i w:val="0"/>
          <w:color w:val="000000"/>
          <w:sz w:val="22"/>
          <w:u w:val="none"/>
        </w:rPr>
        <w:t>Revisit the unit's anchoring phenomenon through a global lens: Why do different cultures use different materials for cooking vessels? Clay pots (network covalent silicates), cast iron (metallic), copper (metallic), and ceramic (ionic/covalent network) all have different heat conductivity and reactivity with food. Discuss how traditional knowledge about materials aligns with chemistry concepts.</w:t>
      </w:r>
    </w:p>
    <w:p>
      <w:pPr>
        <w:spacing w:before="160" w:after="80"/>
        <w:jc w:val="left"/>
      </w:pPr>
      <w:r>
        <w:rPr>
          <w:rFonts w:ascii="Calibri" w:hAnsi="Calibri"/>
          <w:b/>
          <w:i w:val="0"/>
          <w:color w:val="1F4E79"/>
          <w:sz w:val="24"/>
          <w:u w:val="none"/>
        </w:rPr>
        <w:t>Hochman Writing Integration</w:t>
      </w:r>
    </w:p>
    <w:p>
      <w:pPr>
        <w:spacing w:before="80" w:after="80"/>
        <w:shd w:fill="D6E4F0" w:val="clear"/>
      </w:pPr>
      <w:r>
        <w:rPr>
          <w:rFonts w:ascii="Calibri" w:hAnsi="Calibri"/>
          <w:b/>
          <w:i w:val="0"/>
          <w:color w:val="1F4E79"/>
          <w:sz w:val="22"/>
          <w:u w:val="none"/>
        </w:rPr>
        <w:t xml:space="preserve">Literacy Activity: </w:t>
      </w:r>
      <w:r>
        <w:rPr>
          <w:rFonts w:ascii="Calibri" w:hAnsi="Calibri"/>
          <w:b w:val="0"/>
          <w:i w:val="0"/>
          <w:color w:val="000000"/>
          <w:sz w:val="22"/>
          <w:u w:val="none"/>
        </w:rPr>
        <w:t>Kernel sentence expansion using concepts from the entire unit. Start with: 'Structure determines properties.' Students expand: 'At the particulate level, the type of bonding between atoms — whether ionic, covalent, or metallic — and the intermolecular forces between molecules determine the bulk properties of a substance, including its melting point, conductivity, and solubility in water.'</w:t>
      </w:r>
    </w:p>
    <w:sectPr w:rsidR="00FC693F" w:rsidRPr="0006063C" w:rsidSect="00034616">
      <w:footerReference w:type="default" r:id="rId9"/>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1F4E79"/>
        <w:sz w:val="18"/>
      </w:rPr>
      <w:t>Valley Stream Central High School District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