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5: Chemical Reactions &amp; Stoichiometry  |  Lesson 4: Single and Double Replacement Reactions</w:t>
      </w:r>
    </w:p>
    <w:p>
      <w:pPr>
        <w:spacing w:before="0" w:after="80"/>
        <w:jc w:val="center"/>
      </w:pPr>
      <w:r>
        <w:rPr>
          <w:rFonts w:ascii="Calibri" w:hAnsi="Calibri"/>
          <w:b/>
          <w:i w:val="0"/>
          <w:color w:val="1F4E79"/>
          <w:sz w:val="24"/>
          <w:u w:val="none"/>
        </w:rPr>
        <w:t>Topic: Replacement Reactions and Prediction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places a copper penny into a clear solution of silver nitrate (AgNO3). After 24 hours, the penny is covered with shiny silver crystals and the solution has turned blue. The student places another copper penny into zinc nitrate solution and observes no change after 24 hours.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copper reacted with silver nitrate but not with zinc nitrate because of its position on the activity series:___.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compare the positions of copper, silver, and zinc, and explain why one reaction occurred and the other did not.</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On the activity series, the order from most to least active is: Zn &gt; Cu &gt; Ag. Copper replaced silver because copper is___ the activity series than silver. However, copper did not replace zinc because copper is___ the activity series than zinc. The blue color appeared because___, and the silver crystals formed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