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7: Reaction Rates &amp; Equilibrium  |  Lesson 2: Reaction Rate Graphs and Interpreting Rate Data</w:t>
      </w:r>
    </w:p>
    <w:p>
      <w:pPr>
        <w:spacing w:before="0" w:after="80"/>
        <w:jc w:val="center"/>
      </w:pPr>
      <w:r>
        <w:rPr>
          <w:rFonts w:ascii="Calibri" w:hAnsi="Calibri"/>
          <w:b/>
          <w:i w:val="0"/>
          <w:color w:val="1F4E79"/>
          <w:sz w:val="24"/>
          <w:u w:val="none"/>
        </w:rPr>
        <w:t>Topic: Interpreting Rate Graphs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Two students study the same decomposition reaction. Student A runs the reaction at 25 degrees C and Student B runs it at 50 degrees C. Both plot concentration of reactant vs. time. Student A's curve decreases slowly and levels off at 300 seconds. Student B's curve decreases steeply and levels off at 90 seconds. Both curves level off at the same final concentration.</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temperature affects the rate but not the final amount of product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slopes and endpoints of both graphs and connect to collision theory to explain the observations.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Student B's curve is steeper, meaning ___, because at higher temperature, particles have ___ kinetic energy and collisions are___. Both curves reach the same final concentration because ___, which shows that temperature affects ___ but not___.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