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Unit 8: Acids, Bases &amp; Salts</w:t>
      </w:r>
    </w:p>
    <w:p>
      <w:pPr>
        <w:spacing w:before="0" w:after="160"/>
        <w:jc w:val="center"/>
      </w:pPr>
      <w:r>
        <w:rPr>
          <w:rFonts w:ascii="Calibri" w:hAnsi="Calibri"/>
          <w:b w:val="0"/>
          <w:i/>
          <w:color w:val="1F4E79"/>
          <w:sz w:val="22"/>
          <w:u w:val="none"/>
        </w:rPr>
        <w:t>Duration: 15 days  |  Performance Expectations: HS-PS1-11</w:t>
      </w:r>
    </w:p>
    <w:p>
      <w:pPr>
        <w:spacing w:before="40" w:after="40"/>
        <w:pBdr>
          <w:bottom w:val="single" w:sz="4" w:space="1" w:color="1F4E79"/>
        </w:pBdr>
      </w:pPr>
    </w:p>
    <w:p>
      <w:pPr>
        <w:spacing w:before="160" w:after="80"/>
        <w:jc w:val="left"/>
      </w:pPr>
      <w:r>
        <w:rPr>
          <w:rFonts w:ascii="Calibri" w:hAnsi="Calibri"/>
          <w:b/>
          <w:i w:val="0"/>
          <w:color w:val="1F4E79"/>
          <w:sz w:val="24"/>
          <w:u w:val="none"/>
        </w:rPr>
        <w:t>Anchoring Phenomenon</w:t>
      </w:r>
    </w:p>
    <w:p>
      <w:pPr>
        <w:spacing w:before="80" w:after="80"/>
        <w:shd w:fill="D6E4F0" w:val="clear"/>
      </w:pPr>
      <w:r>
        <w:rPr>
          <w:rFonts w:ascii="Calibri" w:hAnsi="Calibri"/>
          <w:b/>
          <w:i w:val="0"/>
          <w:color w:val="1F4E79"/>
          <w:sz w:val="22"/>
          <w:u w:val="none"/>
        </w:rPr>
        <w:t xml:space="preserve">Phenomenon: </w:t>
      </w:r>
      <w:r>
        <w:rPr>
          <w:rFonts w:ascii="Calibri" w:hAnsi="Calibri"/>
          <w:b w:val="0"/>
          <w:i w:val="0"/>
          <w:color w:val="000000"/>
          <w:sz w:val="22"/>
          <w:u w:val="none"/>
        </w:rPr>
        <w:t>Antacid tablets relieve heartburn by reacting with stomach acid. But if you take too many, your stomach can become too basic and you feel just as bad. How do chemists measure and control the balance between acids and bases?</w:t>
      </w:r>
    </w:p>
    <w:p>
      <w:pPr>
        <w:spacing w:before="160" w:after="80"/>
        <w:jc w:val="left"/>
      </w:pPr>
      <w:r>
        <w:rPr>
          <w:rFonts w:ascii="Calibri" w:hAnsi="Calibri"/>
          <w:b/>
          <w:i w:val="0"/>
          <w:color w:val="1F4E79"/>
          <w:sz w:val="24"/>
          <w:u w:val="none"/>
        </w:rPr>
        <w:t>Essential Questions</w:t>
      </w:r>
    </w:p>
    <w:p>
      <w:pPr>
        <w:pStyle w:val="ListBullet"/>
        <w:spacing w:before="20" w:after="20"/>
      </w:pPr>
      <w:r>
        <w:rPr>
          <w:rFonts w:ascii="Calibri" w:hAnsi="Calibri"/>
          <w:b w:val="0"/>
          <w:i w:val="0"/>
          <w:color w:val="000000"/>
          <w:sz w:val="22"/>
          <w:u w:val="none"/>
        </w:rPr>
        <w:t>What makes a substance an acid or a base, and how do different theories define them?</w:t>
      </w:r>
    </w:p>
    <w:p>
      <w:pPr>
        <w:pStyle w:val="ListBullet"/>
        <w:spacing w:before="20" w:after="20"/>
      </w:pPr>
      <w:r>
        <w:rPr>
          <w:rFonts w:ascii="Calibri" w:hAnsi="Calibri"/>
          <w:b w:val="0"/>
          <w:i w:val="0"/>
          <w:color w:val="000000"/>
          <w:sz w:val="22"/>
          <w:u w:val="none"/>
        </w:rPr>
        <w:t>How does the pH scale quantify the strength of an acid or base, and what do pH values tell us about hydronium ion concentration?</w:t>
      </w:r>
    </w:p>
    <w:p>
      <w:pPr>
        <w:pStyle w:val="ListBullet"/>
        <w:spacing w:before="20" w:after="20"/>
      </w:pPr>
      <w:r>
        <w:rPr>
          <w:rFonts w:ascii="Calibri" w:hAnsi="Calibri"/>
          <w:b w:val="0"/>
          <w:i w:val="0"/>
          <w:color w:val="000000"/>
          <w:sz w:val="22"/>
          <w:u w:val="none"/>
        </w:rPr>
        <w:t>What happens at the molecular level during a neutralization reaction, and what products are formed?</w:t>
      </w:r>
    </w:p>
    <w:p>
      <w:pPr>
        <w:spacing w:before="160" w:after="80"/>
        <w:jc w:val="left"/>
      </w:pPr>
      <w:r>
        <w:rPr>
          <w:rFonts w:ascii="Calibri" w:hAnsi="Calibri"/>
          <w:b/>
          <w:i w:val="0"/>
          <w:color w:val="1F4E79"/>
          <w:sz w:val="24"/>
          <w:u w:val="none"/>
        </w:rPr>
        <w:t>Unit Pacing &amp; Sequence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shd w:fill="1F4E79" w:val="clear"/>
          </w:tcPr>
          <w:p>
            <w:pPr>
              <w:jc w:val="center"/>
            </w:pPr>
            <w:r/>
            <w:r>
              <w:rPr>
                <w:rFonts w:ascii="Calibri" w:hAnsi="Calibri"/>
                <w:b/>
                <w:i w:val="0"/>
                <w:color w:val="FFFFFF"/>
                <w:sz w:val="22"/>
                <w:u w:val="none"/>
              </w:rPr>
              <w:t>Lesson #</w:t>
            </w:r>
          </w:p>
        </w:tc>
        <w:tc>
          <w:tcPr>
            <w:tcW w:type="dxa" w:w="2880"/>
            <w:shd w:fill="1F4E79" w:val="clear"/>
          </w:tcPr>
          <w:p>
            <w:pPr>
              <w:jc w:val="center"/>
            </w:pPr>
            <w:r/>
            <w:r>
              <w:rPr>
                <w:rFonts w:ascii="Calibri" w:hAnsi="Calibri"/>
                <w:b/>
                <w:i w:val="0"/>
                <w:color w:val="FFFFFF"/>
                <w:sz w:val="22"/>
                <w:u w:val="none"/>
              </w:rPr>
              <w:t>Title</w:t>
            </w:r>
          </w:p>
        </w:tc>
        <w:tc>
          <w:tcPr>
            <w:tcW w:type="dxa" w:w="864"/>
            <w:shd w:fill="1F4E79" w:val="clear"/>
          </w:tcPr>
          <w:p>
            <w:pPr>
              <w:jc w:val="center"/>
            </w:pPr>
            <w:r/>
            <w:r>
              <w:rPr>
                <w:rFonts w:ascii="Calibri" w:hAnsi="Calibri"/>
                <w:b/>
                <w:i w:val="0"/>
                <w:color w:val="FFFFFF"/>
                <w:sz w:val="22"/>
                <w:u w:val="none"/>
              </w:rPr>
              <w:t>Days</w:t>
            </w:r>
          </w:p>
        </w:tc>
        <w:tc>
          <w:tcPr>
            <w:tcW w:type="dxa" w:w="5040"/>
            <w:shd w:fill="1F4E79" w:val="clear"/>
          </w:tcPr>
          <w:p>
            <w:pPr>
              <w:jc w:val="center"/>
            </w:pPr>
            <w:r/>
            <w:r>
              <w:rPr>
                <w:rFonts w:ascii="Calibri" w:hAnsi="Calibri"/>
                <w:b/>
                <w:i w:val="0"/>
                <w:color w:val="FFFFFF"/>
                <w:sz w:val="22"/>
                <w:u w:val="none"/>
              </w:rPr>
              <w:t>Description</w:t>
            </w:r>
          </w:p>
        </w:tc>
      </w:tr>
      <w:tr>
        <w:tc>
          <w:tcPr>
            <w:tcW w:type="dxa" w:w="1008"/>
          </w:tcPr>
          <w:p>
            <w:r/>
            <w:r>
              <w:rPr>
                <w:rFonts w:ascii="Calibri" w:hAnsi="Calibri"/>
                <w:b w:val="0"/>
                <w:i w:val="0"/>
                <w:color w:val="000000"/>
                <w:sz w:val="22"/>
                <w:u w:val="none"/>
              </w:rPr>
              <w:t>1</w:t>
            </w:r>
          </w:p>
        </w:tc>
        <w:tc>
          <w:tcPr>
            <w:tcW w:type="dxa" w:w="2880"/>
          </w:tcPr>
          <w:p>
            <w:r/>
            <w:r>
              <w:rPr>
                <w:rFonts w:ascii="Calibri" w:hAnsi="Calibri"/>
                <w:b w:val="0"/>
                <w:i w:val="0"/>
                <w:color w:val="000000"/>
                <w:sz w:val="22"/>
                <w:u w:val="none"/>
              </w:rPr>
              <w:t>Arrhenius and Bronsted-Lowry Theories of Acids and Bases</w:t>
            </w:r>
          </w:p>
        </w:tc>
        <w:tc>
          <w:tcPr>
            <w:tcW w:type="dxa" w:w="864"/>
          </w:tcPr>
          <w:p>
            <w:r/>
            <w:r>
              <w:rPr>
                <w:rFonts w:ascii="Calibri" w:hAnsi="Calibri"/>
                <w:b w:val="0"/>
                <w:i w:val="0"/>
                <w:color w:val="000000"/>
                <w:sz w:val="22"/>
                <w:u w:val="none"/>
              </w:rPr>
              <w:t>3</w:t>
            </w:r>
          </w:p>
        </w:tc>
        <w:tc>
          <w:tcPr>
            <w:tcW w:type="dxa" w:w="5040"/>
          </w:tcPr>
          <w:p>
            <w:r/>
            <w:r>
              <w:rPr>
                <w:rFonts w:ascii="Calibri" w:hAnsi="Calibri"/>
                <w:b w:val="0"/>
                <w:i w:val="0"/>
                <w:color w:val="000000"/>
                <w:sz w:val="22"/>
                <w:u w:val="none"/>
              </w:rPr>
              <w:t>At the end of 42 minutes I can define acids and bases according to both the Arrhenius and Bronsted-Lowry theories and id...</w:t>
            </w:r>
          </w:p>
        </w:tc>
      </w:tr>
      <w:tr>
        <w:tc>
          <w:tcPr>
            <w:tcW w:type="dxa" w:w="1008"/>
            <w:shd w:fill="F2F2F2" w:val="clear"/>
          </w:tcPr>
          <w:p>
            <w:r/>
            <w:r>
              <w:rPr>
                <w:rFonts w:ascii="Calibri" w:hAnsi="Calibri"/>
                <w:b w:val="0"/>
                <w:i w:val="0"/>
                <w:color w:val="000000"/>
                <w:sz w:val="22"/>
                <w:u w:val="none"/>
              </w:rPr>
              <w:t>2</w:t>
            </w:r>
          </w:p>
        </w:tc>
        <w:tc>
          <w:tcPr>
            <w:tcW w:type="dxa" w:w="2880"/>
            <w:shd w:fill="F2F2F2" w:val="clear"/>
          </w:tcPr>
          <w:p>
            <w:r/>
            <w:r>
              <w:rPr>
                <w:rFonts w:ascii="Calibri" w:hAnsi="Calibri"/>
                <w:b w:val="0"/>
                <w:i w:val="0"/>
                <w:color w:val="000000"/>
                <w:sz w:val="22"/>
                <w:u w:val="none"/>
              </w:rPr>
              <w:t>pH Scale, Indicators, and pH Calculations</w:t>
            </w:r>
          </w:p>
        </w:tc>
        <w:tc>
          <w:tcPr>
            <w:tcW w:type="dxa" w:w="864"/>
            <w:shd w:fill="F2F2F2" w:val="clear"/>
          </w:tcPr>
          <w:p>
            <w:r/>
            <w:r>
              <w:rPr>
                <w:rFonts w:ascii="Calibri" w:hAnsi="Calibri"/>
                <w:b w:val="0"/>
                <w:i w:val="0"/>
                <w:color w:val="000000"/>
                <w:sz w:val="22"/>
                <w:u w:val="none"/>
              </w:rPr>
              <w:t>3</w:t>
            </w:r>
          </w:p>
        </w:tc>
        <w:tc>
          <w:tcPr>
            <w:tcW w:type="dxa" w:w="5040"/>
            <w:shd w:fill="F2F2F2" w:val="clear"/>
          </w:tcPr>
          <w:p>
            <w:r/>
            <w:r>
              <w:rPr>
                <w:rFonts w:ascii="Calibri" w:hAnsi="Calibri"/>
                <w:b w:val="0"/>
                <w:i w:val="0"/>
                <w:color w:val="000000"/>
                <w:sz w:val="22"/>
                <w:u w:val="none"/>
              </w:rPr>
              <w:t>At the end of 42 minutes I can use the pH scale to classify solutions as acidic, basic, or neutral and calculate pH from...</w:t>
            </w:r>
          </w:p>
        </w:tc>
      </w:tr>
      <w:tr>
        <w:tc>
          <w:tcPr>
            <w:tcW w:type="dxa" w:w="1008"/>
          </w:tcPr>
          <w:p>
            <w:r/>
            <w:r>
              <w:rPr>
                <w:rFonts w:ascii="Calibri" w:hAnsi="Calibri"/>
                <w:b w:val="0"/>
                <w:i w:val="0"/>
                <w:color w:val="000000"/>
                <w:sz w:val="22"/>
                <w:u w:val="none"/>
              </w:rPr>
              <w:t>3</w:t>
            </w:r>
          </w:p>
        </w:tc>
        <w:tc>
          <w:tcPr>
            <w:tcW w:type="dxa" w:w="2880"/>
          </w:tcPr>
          <w:p>
            <w:r/>
            <w:r>
              <w:rPr>
                <w:rFonts w:ascii="Calibri" w:hAnsi="Calibri"/>
                <w:b w:val="0"/>
                <w:i w:val="0"/>
                <w:color w:val="000000"/>
                <w:sz w:val="22"/>
                <w:u w:val="none"/>
              </w:rPr>
              <w:t>Neutralization Reactions and Titration</w:t>
            </w:r>
          </w:p>
        </w:tc>
        <w:tc>
          <w:tcPr>
            <w:tcW w:type="dxa" w:w="864"/>
          </w:tcPr>
          <w:p>
            <w:r/>
            <w:r>
              <w:rPr>
                <w:rFonts w:ascii="Calibri" w:hAnsi="Calibri"/>
                <w:b w:val="0"/>
                <w:i w:val="0"/>
                <w:color w:val="000000"/>
                <w:sz w:val="22"/>
                <w:u w:val="none"/>
              </w:rPr>
              <w:t>3</w:t>
            </w:r>
          </w:p>
        </w:tc>
        <w:tc>
          <w:tcPr>
            <w:tcW w:type="dxa" w:w="5040"/>
          </w:tcPr>
          <w:p>
            <w:r/>
            <w:r>
              <w:rPr>
                <w:rFonts w:ascii="Calibri" w:hAnsi="Calibri"/>
                <w:b w:val="0"/>
                <w:i w:val="0"/>
                <w:color w:val="000000"/>
                <w:sz w:val="22"/>
                <w:u w:val="none"/>
              </w:rPr>
              <w:t>At the end of 42 minutes I can write balanced equations for neutralization reactions, predict the products (salt + water...</w:t>
            </w:r>
          </w:p>
        </w:tc>
      </w:tr>
      <w:tr>
        <w:tc>
          <w:tcPr>
            <w:tcW w:type="dxa" w:w="1008"/>
            <w:shd w:fill="F2F2F2" w:val="clear"/>
          </w:tcPr>
          <w:p>
            <w:r/>
            <w:r>
              <w:rPr>
                <w:rFonts w:ascii="Calibri" w:hAnsi="Calibri"/>
                <w:b w:val="0"/>
                <w:i w:val="0"/>
                <w:color w:val="000000"/>
                <w:sz w:val="22"/>
                <w:u w:val="none"/>
              </w:rPr>
              <w:t>4</w:t>
            </w:r>
          </w:p>
        </w:tc>
        <w:tc>
          <w:tcPr>
            <w:tcW w:type="dxa" w:w="2880"/>
            <w:shd w:fill="F2F2F2" w:val="clear"/>
          </w:tcPr>
          <w:p>
            <w:r/>
            <w:r>
              <w:rPr>
                <w:rFonts w:ascii="Calibri" w:hAnsi="Calibri"/>
                <w:b w:val="0"/>
                <w:i w:val="0"/>
                <w:color w:val="000000"/>
                <w:sz w:val="22"/>
                <w:u w:val="none"/>
              </w:rPr>
              <w:t>Salt Formation, Hydrolysis, and Acid-Base Review</w:t>
            </w:r>
          </w:p>
        </w:tc>
        <w:tc>
          <w:tcPr>
            <w:tcW w:type="dxa" w:w="864"/>
            <w:shd w:fill="F2F2F2" w:val="clear"/>
          </w:tcPr>
          <w:p>
            <w:r/>
            <w:r>
              <w:rPr>
                <w:rFonts w:ascii="Calibri" w:hAnsi="Calibri"/>
                <w:b w:val="0"/>
                <w:i w:val="0"/>
                <w:color w:val="000000"/>
                <w:sz w:val="22"/>
                <w:u w:val="none"/>
              </w:rPr>
              <w:t>3</w:t>
            </w:r>
          </w:p>
        </w:tc>
        <w:tc>
          <w:tcPr>
            <w:tcW w:type="dxa" w:w="5040"/>
            <w:shd w:fill="F2F2F2" w:val="clear"/>
          </w:tcPr>
          <w:p>
            <w:r/>
            <w:r>
              <w:rPr>
                <w:rFonts w:ascii="Calibri" w:hAnsi="Calibri"/>
                <w:b w:val="0"/>
                <w:i w:val="0"/>
                <w:color w:val="000000"/>
                <w:sz w:val="22"/>
                <w:u w:val="none"/>
              </w:rPr>
              <w:t>At the end of 42 minutes I can predict whether a salt solution will be acidic, basic, or neutral based on the identities...</w:t>
            </w:r>
          </w:p>
        </w:tc>
      </w:tr>
    </w:tbl>
    <w:p/>
    <w:p>
      <w:pPr>
        <w:spacing w:before="160" w:after="80"/>
        <w:jc w:val="left"/>
      </w:pPr>
      <w:r>
        <w:rPr>
          <w:rFonts w:ascii="Calibri" w:hAnsi="Calibri"/>
          <w:b/>
          <w:i w:val="0"/>
          <w:color w:val="1F4E79"/>
          <w:sz w:val="24"/>
          <w:u w:val="none"/>
        </w:rPr>
        <w:t>Standards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HS-PS1-11</w:t>
            </w:r>
          </w:p>
        </w:tc>
        <w:tc>
          <w:tcPr>
            <w:tcW w:type="dxa" w:w="2880"/>
          </w:tcPr>
          <w:p>
            <w:r/>
            <w:r>
              <w:rPr>
                <w:rFonts w:ascii="Calibri" w:hAnsi="Calibri"/>
                <w:b w:val="0"/>
                <w:i w:val="0"/>
                <w:color w:val="000000"/>
                <w:sz w:val="22"/>
                <w:u w:val="none"/>
              </w:rPr>
              <w:t>Analyzing and Interpreting Data</w:t>
              <w:br/>
              <w:t>Engaging in Argument from Evidence</w:t>
              <w:br/>
              <w:t>Planning and Carrying Out Investigations</w:t>
              <w:br/>
              <w:t>Using Mathematics and Computational Thinking</w:t>
            </w:r>
          </w:p>
        </w:tc>
        <w:tc>
          <w:tcPr>
            <w:tcW w:type="dxa" w:w="2160"/>
          </w:tcPr>
          <w:p>
            <w:r/>
            <w:r>
              <w:rPr>
                <w:rFonts w:ascii="Calibri" w:hAnsi="Calibri"/>
                <w:b w:val="0"/>
                <w:i w:val="0"/>
                <w:color w:val="000000"/>
                <w:sz w:val="22"/>
                <w:u w:val="none"/>
              </w:rPr>
              <w:t>Cause and Effect</w:t>
              <w:br/>
              <w:t>Patterns</w:t>
              <w:b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CRSE Theme</w:t>
      </w:r>
    </w:p>
    <w:p>
      <w:pPr>
        <w:spacing w:before="80" w:after="80"/>
        <w:shd w:fill="E2EFDA" w:val="clear"/>
      </w:pPr>
      <w:r>
        <w:rPr>
          <w:rFonts w:ascii="Calibri" w:hAnsi="Calibri"/>
          <w:b/>
          <w:i w:val="0"/>
          <w:color w:val="1F4E79"/>
          <w:sz w:val="22"/>
          <w:u w:val="none"/>
        </w:rPr>
        <w:t xml:space="preserve">Theme: </w:t>
      </w:r>
      <w:r>
        <w:rPr>
          <w:rFonts w:ascii="Calibri" w:hAnsi="Calibri"/>
          <w:b w:val="0"/>
          <w:i w:val="0"/>
          <w:color w:val="000000"/>
          <w:sz w:val="22"/>
          <w:u w:val="none"/>
        </w:rPr>
        <w:t>Students explore acids and bases through cultural and environmental lenses — the chemistry of traditional food preservation (pickling in vinegar across many cultures, lime in nixtamalization), the pH of natural dyes used in textile traditions from India and Central America, and the environmental justice implications of acid rain on communities near industrial zones.</w:t>
      </w:r>
    </w:p>
    <w:p>
      <w:pPr>
        <w:spacing w:before="160" w:after="80"/>
        <w:jc w:val="left"/>
      </w:pPr>
      <w:r>
        <w:rPr>
          <w:rFonts w:ascii="Calibri" w:hAnsi="Calibri"/>
          <w:b/>
          <w:i w:val="0"/>
          <w:color w:val="1F4E79"/>
          <w:sz w:val="24"/>
          <w:u w:val="none"/>
        </w:rPr>
        <w:t>Assessment Overview</w:t>
      </w:r>
    </w:p>
    <w:p>
      <w:pPr>
        <w:spacing w:before="80" w:after="80"/>
        <w:jc w:val="left"/>
      </w:pPr>
      <w:r>
        <w:rPr>
          <w:rFonts w:ascii="Calibri" w:hAnsi="Calibri"/>
          <w:b/>
          <w:i w:val="0"/>
          <w:color w:val="000000"/>
          <w:sz w:val="22"/>
          <w:u w:val="none"/>
        </w:rPr>
        <w:t>Formative Assessments:</w:t>
      </w:r>
    </w:p>
    <w:p>
      <w:pPr>
        <w:pStyle w:val="ListBullet"/>
        <w:spacing w:before="20" w:after="20"/>
      </w:pPr>
      <w:r>
        <w:rPr>
          <w:rFonts w:ascii="Calibri" w:hAnsi="Calibri"/>
          <w:b w:val="0"/>
          <w:i w:val="0"/>
          <w:color w:val="000000"/>
          <w:sz w:val="22"/>
          <w:u w:val="none"/>
        </w:rPr>
        <w:t>Exit tickets on acid-base identification</w:t>
      </w:r>
    </w:p>
    <w:p>
      <w:pPr>
        <w:pStyle w:val="ListBullet"/>
        <w:spacing w:before="20" w:after="20"/>
      </w:pPr>
      <w:r>
        <w:rPr>
          <w:rFonts w:ascii="Calibri" w:hAnsi="Calibri"/>
          <w:b w:val="0"/>
          <w:i w:val="0"/>
          <w:color w:val="000000"/>
          <w:sz w:val="22"/>
          <w:u w:val="none"/>
        </w:rPr>
        <w:t>pH calculation practice quiz</w:t>
      </w:r>
    </w:p>
    <w:p>
      <w:pPr>
        <w:pStyle w:val="ListBullet"/>
        <w:spacing w:before="20" w:after="20"/>
      </w:pPr>
      <w:r>
        <w:rPr>
          <w:rFonts w:ascii="Calibri" w:hAnsi="Calibri"/>
          <w:b w:val="0"/>
          <w:i w:val="0"/>
          <w:color w:val="000000"/>
          <w:sz w:val="22"/>
          <w:u w:val="none"/>
        </w:rPr>
        <w:t>Neutralization equation balancing checks</w:t>
      </w:r>
    </w:p>
    <w:p>
      <w:pPr>
        <w:spacing w:before="80" w:after="80"/>
        <w:jc w:val="left"/>
      </w:pPr>
      <w:r>
        <w:rPr>
          <w:rFonts w:ascii="Calibri" w:hAnsi="Calibri"/>
          <w:b/>
          <w:i w:val="0"/>
          <w:color w:val="000000"/>
          <w:sz w:val="22"/>
          <w:u w:val="none"/>
        </w:rPr>
        <w:t>Summative Assessments:</w:t>
      </w:r>
    </w:p>
    <w:p>
      <w:pPr>
        <w:pStyle w:val="ListBullet"/>
        <w:spacing w:before="20" w:after="20"/>
      </w:pPr>
      <w:r>
        <w:rPr>
          <w:rFonts w:ascii="Calibri" w:hAnsi="Calibri"/>
          <w:b w:val="0"/>
          <w:i w:val="0"/>
          <w:color w:val="000000"/>
          <w:sz w:val="22"/>
          <w:u w:val="none"/>
        </w:rPr>
        <w:t>Acid-Base Titration Lab Report</w:t>
      </w:r>
    </w:p>
    <w:p>
      <w:pPr>
        <w:pStyle w:val="ListBullet"/>
        <w:spacing w:before="20" w:after="20"/>
      </w:pPr>
      <w:r>
        <w:rPr>
          <w:rFonts w:ascii="Calibri" w:hAnsi="Calibri"/>
          <w:b w:val="0"/>
          <w:i w:val="0"/>
          <w:color w:val="000000"/>
          <w:sz w:val="22"/>
          <w:u w:val="none"/>
        </w:rPr>
        <w:t>Unit 8 Exam: Acids, Bases &amp; Salts</w:t>
      </w:r>
    </w:p>
    <w:p>
      <w:pPr>
        <w:spacing w:before="160" w:after="80"/>
        <w:jc w:val="left"/>
      </w:pPr>
      <w:r>
        <w:rPr>
          <w:rFonts w:ascii="Calibri" w:hAnsi="Calibri"/>
          <w:b/>
          <w:i w:val="0"/>
          <w:color w:val="1F4E79"/>
          <w:sz w:val="24"/>
          <w:u w:val="none"/>
        </w:rPr>
        <w:t>Required Investigations</w:t>
      </w:r>
    </w:p>
    <w:p>
      <w:pPr>
        <w:pStyle w:val="ListBullet"/>
        <w:spacing w:before="20" w:after="20"/>
      </w:pPr>
      <w:r>
        <w:rPr>
          <w:rFonts w:ascii="Calibri" w:hAnsi="Calibri"/>
          <w:b w:val="0"/>
          <w:i w:val="0"/>
          <w:color w:val="000000"/>
          <w:sz w:val="22"/>
          <w:u w:val="none"/>
        </w:rPr>
        <w:t>Investigation 8: Acid-Base Titration — Determining the Concentration of an Unknown Acid</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