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9: Redox &amp; Electrochemistry  |  Lesson 5: Redox and Electrochemistry Review</w:t>
      </w:r>
    </w:p>
    <w:p>
      <w:pPr>
        <w:spacing w:before="0" w:after="80"/>
        <w:jc w:val="center"/>
      </w:pPr>
      <w:r>
        <w:rPr>
          <w:rFonts w:ascii="Calibri" w:hAnsi="Calibri"/>
          <w:b/>
          <w:i w:val="0"/>
          <w:color w:val="1F4E79"/>
          <w:sz w:val="24"/>
          <w:u w:val="none"/>
        </w:rPr>
        <w:t>Topic: Corrosion Prevention Engineering</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An underground steel pipeline carries natural gas. To prevent rusting, engineers attach zinc blocks to the outside of the pipe at regular intervals. Over time, the zinc blocks dissolve away but the steel pipe remains intact. The company must replace the zinc blocks every few years.</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the zinc blocks protect the steel pipe through cathodic protection because___.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Use the activity series to explain why zinc corrodes instead of iron, write the relevant half-reactions, and explain the electron flow.</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Zinc is ___ active than iron on the activity series, meaning it has a greater tendency to___. When connected, zinc acts as the ___ (site of oxidation), donating electrons to the iron pipe. The iron becomes the ___ (site of reduction), receiving electrons. As long as zinc is present, the iron ___ because___. This is called ___ protection.</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