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10: Waves, EM Radiation &amp; Nuclear Chemistry  |  Lesson 3: Nuclear Reactions: Fission, Fusion, and Radioactive Decay</w:t>
      </w:r>
    </w:p>
    <w:p>
      <w:pPr>
        <w:spacing w:before="0" w:after="80"/>
        <w:jc w:val="center"/>
      </w:pPr>
      <w:r>
        <w:rPr>
          <w:rFonts w:ascii="Calibri" w:hAnsi="Calibri"/>
          <w:b/>
          <w:i w:val="0"/>
          <w:color w:val="1F4E79"/>
          <w:sz w:val="24"/>
          <w:u w:val="none"/>
        </w:rPr>
        <w:t>Topic: Nuclear Chemistry and Energy</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The Sun fuses approximately 600 million tons of hydrogen into helium every second. Yet the Sun has been shining for 4.6 billion years and still has enough hydrogen to last billions more. In contrast, a coal-fired power plant burns through millions of tons of coal per year to produce far less energy.</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I claim that nuclear fusion produces vastly more energy per unit mass than chemical combustion because___.</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Compare the energy source in nuclear fusion (mass-energy conversion via E=mc^2) with the energy source in combustion (bond energy changes), and use the given data about the Sun's fuel consumption.</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In chemical combustion, energy comes from ___, which involves rearranging___. In nuclear fusion, energy comes from ___, which involves converting a small amount of ___ into energy according to E=mc^2. Because c^2 = ___, even a tiny mass loss produces ___ energy. This explains why the Sun, despite consuming ___ tons of hydrogen per second, can sustain fusion for billions of years.</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