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3: Course Review and Regents Exam Preparation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Cumulative Chemistry Application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new electric vehicle battery company claims their lithium-iron-phosphate (LFP) battery is safer, cheaper, and more environmentally friendly than traditional lithium-cobalt-oxide batteries, though it has slightly lower energy density. The company asks: 'Is this battery the best option for widespread adoption?'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LFP battery is/is not the best option for widespread adoption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Integrate chemistry concepts from multiple units: electrochemistry (cell design and voltage), energy (enthalpy and bond stability), materials science (element properties from the periodic table), and engineering design (trade-off analysis of criteria and constraints).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From an electrochemistry perspective, the LFP battery works by___. Its lower energy density means ___, which is a limitation for___. However, iron is ___ than cobalt on the periodic table, making it more abundant and___. The engineering trade-off between energy density and ___ means that for applications like ___, the LFP battery is preferable because___. For applications requiring ___, the cobalt battery may be better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