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Unit 11: Engineering Design &amp; Review</w:t>
      </w:r>
    </w:p>
    <w:p>
      <w:pPr>
        <w:spacing w:before="0" w:after="160"/>
        <w:jc w:val="center"/>
      </w:pPr>
      <w:r>
        <w:rPr>
          <w:rFonts w:ascii="Calibri" w:hAnsi="Calibri"/>
          <w:b w:val="0"/>
          <w:i/>
          <w:color w:val="1F4E79"/>
          <w:sz w:val="22"/>
          <w:u w:val="none"/>
        </w:rPr>
        <w:t>Duration: 8 days  |  Performance Expectations: HS-ETS1-1, HS-ETS1-2, HS-ETS1-3, HS-ETS1-4</w:t>
      </w:r>
    </w:p>
    <w:p>
      <w:pPr>
        <w:spacing w:before="40" w:after="40"/>
        <w:pBdr>
          <w:bottom w:val="single" w:sz="4" w:space="1" w:color="1F4E79"/>
        </w:pBdr>
      </w:pPr>
    </w:p>
    <w:p>
      <w:pPr>
        <w:spacing w:before="160" w:after="80"/>
        <w:jc w:val="left"/>
      </w:pPr>
      <w:r>
        <w:rPr>
          <w:rFonts w:ascii="Calibri" w:hAnsi="Calibri"/>
          <w:b/>
          <w:i w:val="0"/>
          <w:color w:val="1F4E79"/>
          <w:sz w:val="24"/>
          <w:u w:val="none"/>
        </w:rPr>
        <w:t>Anchoring Phenomenon</w:t>
      </w:r>
    </w:p>
    <w:p>
      <w:pPr>
        <w:spacing w:before="80" w:after="80"/>
        <w:shd w:fill="D6E4F0" w:val="clear"/>
      </w:pPr>
      <w:r>
        <w:rPr>
          <w:rFonts w:ascii="Calibri" w:hAnsi="Calibri"/>
          <w:b/>
          <w:i w:val="0"/>
          <w:color w:val="1F4E79"/>
          <w:sz w:val="22"/>
          <w:u w:val="none"/>
        </w:rPr>
        <w:t xml:space="preserve">Phenomenon: </w:t>
      </w:r>
      <w:r>
        <w:rPr>
          <w:rFonts w:ascii="Calibri" w:hAnsi="Calibri"/>
          <w:b w:val="0"/>
          <w:i w:val="0"/>
          <w:color w:val="000000"/>
          <w:sz w:val="22"/>
          <w:u w:val="none"/>
        </w:rPr>
        <w:t>The Great Pacific Garbage Patch contains an estimated 80,000 tons of plastic debris. Engineers and chemists are developing solutions — from biodegradable plastics to ocean cleanup devices to chemical recycling methods. How can chemistry knowledge be applied through the engineering design process to address real-world problems like plastic pollution?</w:t>
      </w:r>
    </w:p>
    <w:p>
      <w:pPr>
        <w:spacing w:before="160" w:after="80"/>
        <w:jc w:val="left"/>
      </w:pPr>
      <w:r>
        <w:rPr>
          <w:rFonts w:ascii="Calibri" w:hAnsi="Calibri"/>
          <w:b/>
          <w:i w:val="0"/>
          <w:color w:val="1F4E79"/>
          <w:sz w:val="24"/>
          <w:u w:val="none"/>
        </w:rPr>
        <w:t>Essential Questions</w:t>
      </w:r>
    </w:p>
    <w:p>
      <w:pPr>
        <w:pStyle w:val="ListBullet"/>
        <w:spacing w:before="20" w:after="20"/>
      </w:pPr>
      <w:r>
        <w:rPr>
          <w:rFonts w:ascii="Calibri" w:hAnsi="Calibri"/>
          <w:b w:val="0"/>
          <w:i w:val="0"/>
          <w:color w:val="000000"/>
          <w:sz w:val="22"/>
          <w:u w:val="none"/>
        </w:rPr>
        <w:t>How do engineers use the design process to develop solutions to complex real-world problems?</w:t>
      </w:r>
    </w:p>
    <w:p>
      <w:pPr>
        <w:pStyle w:val="ListBullet"/>
        <w:spacing w:before="20" w:after="20"/>
      </w:pPr>
      <w:r>
        <w:rPr>
          <w:rFonts w:ascii="Calibri" w:hAnsi="Calibri"/>
          <w:b w:val="0"/>
          <w:i w:val="0"/>
          <w:color w:val="000000"/>
          <w:sz w:val="22"/>
          <w:u w:val="none"/>
        </w:rPr>
        <w:t>How does chemistry knowledge help us evaluate the trade-offs and constraints of proposed solutions?</w:t>
      </w:r>
    </w:p>
    <w:p>
      <w:pPr>
        <w:pStyle w:val="ListBullet"/>
        <w:spacing w:before="20" w:after="20"/>
      </w:pPr>
      <w:r>
        <w:rPr>
          <w:rFonts w:ascii="Calibri" w:hAnsi="Calibri"/>
          <w:b w:val="0"/>
          <w:i w:val="0"/>
          <w:color w:val="000000"/>
          <w:sz w:val="22"/>
          <w:u w:val="none"/>
        </w:rPr>
        <w:t>How can we apply our understanding of all chemistry concepts to solve problems and prepare for the Regents examination?</w:t>
      </w:r>
    </w:p>
    <w:p>
      <w:pPr>
        <w:spacing w:before="160" w:after="80"/>
        <w:jc w:val="left"/>
      </w:pPr>
      <w:r>
        <w:rPr>
          <w:rFonts w:ascii="Calibri" w:hAnsi="Calibri"/>
          <w:b/>
          <w:i w:val="0"/>
          <w:color w:val="1F4E79"/>
          <w:sz w:val="24"/>
          <w:u w:val="none"/>
        </w:rPr>
        <w:t>Unit Pacing &amp;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008"/>
            <w:shd w:fill="1F4E79" w:val="clear"/>
          </w:tcPr>
          <w:p>
            <w:pPr>
              <w:jc w:val="center"/>
            </w:pPr>
            <w:r/>
            <w:r>
              <w:rPr>
                <w:rFonts w:ascii="Calibri" w:hAnsi="Calibri"/>
                <w:b/>
                <w:i w:val="0"/>
                <w:color w:val="FFFFFF"/>
                <w:sz w:val="22"/>
                <w:u w:val="none"/>
              </w:rPr>
              <w:t>Lesson #</w:t>
            </w:r>
          </w:p>
        </w:tc>
        <w:tc>
          <w:tcPr>
            <w:tcW w:type="dxa" w:w="2880"/>
            <w:shd w:fill="1F4E79" w:val="clear"/>
          </w:tcPr>
          <w:p>
            <w:pPr>
              <w:jc w:val="center"/>
            </w:pPr>
            <w:r/>
            <w:r>
              <w:rPr>
                <w:rFonts w:ascii="Calibri" w:hAnsi="Calibri"/>
                <w:b/>
                <w:i w:val="0"/>
                <w:color w:val="FFFFFF"/>
                <w:sz w:val="22"/>
                <w:u w:val="none"/>
              </w:rPr>
              <w:t>Title</w:t>
            </w:r>
          </w:p>
        </w:tc>
        <w:tc>
          <w:tcPr>
            <w:tcW w:type="dxa" w:w="864"/>
            <w:shd w:fill="1F4E79" w:val="clear"/>
          </w:tcPr>
          <w:p>
            <w:pPr>
              <w:jc w:val="center"/>
            </w:pPr>
            <w:r/>
            <w:r>
              <w:rPr>
                <w:rFonts w:ascii="Calibri" w:hAnsi="Calibri"/>
                <w:b/>
                <w:i w:val="0"/>
                <w:color w:val="FFFFFF"/>
                <w:sz w:val="22"/>
                <w:u w:val="none"/>
              </w:rPr>
              <w:t>Days</w:t>
            </w:r>
          </w:p>
        </w:tc>
        <w:tc>
          <w:tcPr>
            <w:tcW w:type="dxa" w:w="5040"/>
            <w:shd w:fill="1F4E79" w:val="clear"/>
          </w:tcPr>
          <w:p>
            <w:pPr>
              <w:jc w:val="center"/>
            </w:pPr>
            <w:r/>
            <w:r>
              <w:rPr>
                <w:rFonts w:ascii="Calibri" w:hAnsi="Calibri"/>
                <w:b/>
                <w:i w:val="0"/>
                <w:color w:val="FFFFFF"/>
                <w:sz w:val="22"/>
                <w:u w:val="none"/>
              </w:rPr>
              <w:t>Description</w:t>
            </w:r>
          </w:p>
        </w:tc>
      </w:tr>
      <w:tr>
        <w:tc>
          <w:tcPr>
            <w:tcW w:type="dxa" w:w="1008"/>
          </w:tcPr>
          <w:p>
            <w:r/>
            <w:r>
              <w:rPr>
                <w:rFonts w:ascii="Calibri" w:hAnsi="Calibri"/>
                <w:b w:val="0"/>
                <w:i w:val="0"/>
                <w:color w:val="000000"/>
                <w:sz w:val="22"/>
                <w:u w:val="none"/>
              </w:rPr>
              <w:t>1</w:t>
            </w:r>
          </w:p>
        </w:tc>
        <w:tc>
          <w:tcPr>
            <w:tcW w:type="dxa" w:w="2880"/>
          </w:tcPr>
          <w:p>
            <w:r/>
            <w:r>
              <w:rPr>
                <w:rFonts w:ascii="Calibri" w:hAnsi="Calibri"/>
                <w:b w:val="0"/>
                <w:i w:val="0"/>
                <w:color w:val="000000"/>
                <w:sz w:val="22"/>
                <w:u w:val="none"/>
              </w:rPr>
              <w:t>The Engineering Design Process</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apply the engineering design process to define a problem, identify criteria and constrain...</w:t>
            </w:r>
          </w:p>
        </w:tc>
      </w:tr>
      <w:tr>
        <w:tc>
          <w:tcPr>
            <w:tcW w:type="dxa" w:w="1008"/>
            <w:shd w:fill="F2F2F2" w:val="clear"/>
          </w:tcPr>
          <w:p>
            <w:r/>
            <w:r>
              <w:rPr>
                <w:rFonts w:ascii="Calibri" w:hAnsi="Calibri"/>
                <w:b w:val="0"/>
                <w:i w:val="0"/>
                <w:color w:val="000000"/>
                <w:sz w:val="22"/>
                <w:u w:val="none"/>
              </w:rPr>
              <w:t>2</w:t>
            </w:r>
          </w:p>
        </w:tc>
        <w:tc>
          <w:tcPr>
            <w:tcW w:type="dxa" w:w="2880"/>
            <w:shd w:fill="F2F2F2" w:val="clear"/>
          </w:tcPr>
          <w:p>
            <w:r/>
            <w:r>
              <w:rPr>
                <w:rFonts w:ascii="Calibri" w:hAnsi="Calibri"/>
                <w:b w:val="0"/>
                <w:i w:val="0"/>
                <w:color w:val="000000"/>
                <w:sz w:val="22"/>
                <w:u w:val="none"/>
              </w:rPr>
              <w:t>Applying Chemistry to Real-World Problems</w:t>
            </w:r>
          </w:p>
        </w:tc>
        <w:tc>
          <w:tcPr>
            <w:tcW w:type="dxa" w:w="864"/>
            <w:shd w:fill="F2F2F2" w:val="clear"/>
          </w:tcPr>
          <w:p>
            <w:r/>
            <w:r>
              <w:rPr>
                <w:rFonts w:ascii="Calibri" w:hAnsi="Calibri"/>
                <w:b w:val="0"/>
                <w:i w:val="0"/>
                <w:color w:val="000000"/>
                <w:sz w:val="22"/>
                <w:u w:val="none"/>
              </w:rPr>
              <w:t>2</w:t>
            </w:r>
          </w:p>
        </w:tc>
        <w:tc>
          <w:tcPr>
            <w:tcW w:type="dxa" w:w="5040"/>
            <w:shd w:fill="F2F2F2" w:val="clear"/>
          </w:tcPr>
          <w:p>
            <w:r/>
            <w:r>
              <w:rPr>
                <w:rFonts w:ascii="Calibri" w:hAnsi="Calibri"/>
                <w:b w:val="0"/>
                <w:i w:val="0"/>
                <w:color w:val="000000"/>
                <w:sz w:val="22"/>
                <w:u w:val="none"/>
              </w:rPr>
              <w:t>At the end of 42 minutes I can apply chemistry knowledge from the entire course to analyze and propose solutions to real...</w:t>
            </w:r>
          </w:p>
        </w:tc>
      </w:tr>
      <w:tr>
        <w:tc>
          <w:tcPr>
            <w:tcW w:type="dxa" w:w="1008"/>
          </w:tcPr>
          <w:p>
            <w:r/>
            <w:r>
              <w:rPr>
                <w:rFonts w:ascii="Calibri" w:hAnsi="Calibri"/>
                <w:b w:val="0"/>
                <w:i w:val="0"/>
                <w:color w:val="000000"/>
                <w:sz w:val="22"/>
                <w:u w:val="none"/>
              </w:rPr>
              <w:t>3</w:t>
            </w:r>
          </w:p>
        </w:tc>
        <w:tc>
          <w:tcPr>
            <w:tcW w:type="dxa" w:w="2880"/>
          </w:tcPr>
          <w:p>
            <w:r/>
            <w:r>
              <w:rPr>
                <w:rFonts w:ascii="Calibri" w:hAnsi="Calibri"/>
                <w:b w:val="0"/>
                <w:i w:val="0"/>
                <w:color w:val="000000"/>
                <w:sz w:val="22"/>
                <w:u w:val="none"/>
              </w:rPr>
              <w:t>Course Review and Regents Exam Preparation</w:t>
            </w:r>
          </w:p>
        </w:tc>
        <w:tc>
          <w:tcPr>
            <w:tcW w:type="dxa" w:w="864"/>
          </w:tcPr>
          <w:p>
            <w:r/>
            <w:r>
              <w:rPr>
                <w:rFonts w:ascii="Calibri" w:hAnsi="Calibri"/>
                <w:b w:val="0"/>
                <w:i w:val="0"/>
                <w:color w:val="000000"/>
                <w:sz w:val="22"/>
                <w:u w:val="none"/>
              </w:rPr>
              <w:t>3</w:t>
            </w:r>
          </w:p>
        </w:tc>
        <w:tc>
          <w:tcPr>
            <w:tcW w:type="dxa" w:w="5040"/>
          </w:tcPr>
          <w:p>
            <w:r/>
            <w:r>
              <w:rPr>
                <w:rFonts w:ascii="Calibri" w:hAnsi="Calibri"/>
                <w:b w:val="0"/>
                <w:i w:val="0"/>
                <w:color w:val="000000"/>
                <w:sz w:val="22"/>
                <w:u w:val="none"/>
              </w:rPr>
              <w:t>At the end of 42 minutes I can demonstrate mastery of all major chemistry concepts by analyzing multi-concept problems i...</w:t>
            </w:r>
          </w:p>
        </w:tc>
      </w:tr>
    </w:tbl>
    <w:p/>
    <w:p>
      <w:pPr>
        <w:spacing w:before="160" w:after="80"/>
        <w:jc w:val="left"/>
      </w:pPr>
      <w:r>
        <w:rPr>
          <w:rFonts w:ascii="Calibri" w:hAnsi="Calibri"/>
          <w:b/>
          <w:i w:val="0"/>
          <w:color w:val="1F4E79"/>
          <w:sz w:val="24"/>
          <w:u w:val="none"/>
        </w:rPr>
        <w:t>Standards Map</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HS-ETS1-1</w:t>
              <w:br/>
              <w:t>HS-ETS1-2</w:t>
              <w:br/>
              <w:t>HS-ETS1-3</w:t>
              <w:br/>
              <w:t>HS-ETS1-4</w:t>
            </w:r>
          </w:p>
        </w:tc>
        <w:tc>
          <w:tcPr>
            <w:tcW w:type="dxa" w:w="2880"/>
          </w:tcPr>
          <w:p>
            <w:r/>
            <w:r>
              <w:rPr>
                <w:rFonts w:ascii="Calibri" w:hAnsi="Calibri"/>
                <w:b w:val="0"/>
                <w:i w:val="0"/>
                <w:color w:val="000000"/>
                <w:sz w:val="22"/>
                <w:u w:val="none"/>
              </w:rPr>
              <w:t>Asking Questions and Defining Problems</w:t>
              <w:br/>
              <w:t>Constructing Explanations and Designing Solutions</w:t>
              <w:br/>
              <w:t>Engaging in Argument from Evidence</w:t>
            </w:r>
          </w:p>
        </w:tc>
        <w:tc>
          <w:tcPr>
            <w:tcW w:type="dxa" w:w="2160"/>
          </w:tcPr>
          <w:p>
            <w:r/>
            <w:r>
              <w:rPr>
                <w:rFonts w:ascii="Calibri" w:hAnsi="Calibri"/>
                <w:b w:val="0"/>
                <w:i w:val="0"/>
                <w:color w:val="000000"/>
                <w:sz w:val="22"/>
                <w:u w:val="none"/>
              </w:rPr>
              <w:t>Cause and Effect</w:t>
              <w:br/>
              <w:t>Patterns</w:t>
              <w:br/>
              <w:t>Systems and System Models</w:t>
            </w:r>
          </w:p>
        </w:tc>
        <w:tc>
          <w:tcPr>
            <w:tcW w:type="dxa" w:w="3600"/>
          </w:tcPr>
          <w:p>
            <w:r/>
            <w:r>
              <w:rPr>
                <w:rFonts w:ascii="Calibri" w:hAnsi="Calibri"/>
                <w:b w:val="0"/>
                <w:i w:val="0"/>
                <w:color w:val="000000"/>
                <w:sz w:val="22"/>
                <w:u w:val="none"/>
              </w:rPr>
              <w:t>ETS1.A: Defining and Delimiting Engineering Problems</w:t>
              <w:br/>
              <w:t>ETS1.B: Developing Possible Solutions</w:t>
              <w:br/>
              <w:t>ETS1.C: Optimizing the Design Solution</w:t>
            </w:r>
          </w:p>
        </w:tc>
      </w:tr>
    </w:tbl>
    <w:p/>
    <w:p>
      <w:pPr>
        <w:spacing w:before="160" w:after="80"/>
        <w:jc w:val="left"/>
      </w:pPr>
      <w:r>
        <w:rPr>
          <w:rFonts w:ascii="Calibri" w:hAnsi="Calibri"/>
          <w:b/>
          <w:i w:val="0"/>
          <w:color w:val="1F4E79"/>
          <w:sz w:val="24"/>
          <w:u w:val="none"/>
        </w:rPr>
        <w:t>CRSE Theme</w:t>
      </w:r>
    </w:p>
    <w:p>
      <w:pPr>
        <w:spacing w:before="80" w:after="80"/>
        <w:shd w:fill="E2EFDA" w:val="clear"/>
      </w:pPr>
      <w:r>
        <w:rPr>
          <w:rFonts w:ascii="Calibri" w:hAnsi="Calibri"/>
          <w:b/>
          <w:i w:val="0"/>
          <w:color w:val="1F4E79"/>
          <w:sz w:val="22"/>
          <w:u w:val="none"/>
        </w:rPr>
        <w:t xml:space="preserve">Theme: </w:t>
      </w:r>
      <w:r>
        <w:rPr>
          <w:rFonts w:ascii="Calibri" w:hAnsi="Calibri"/>
          <w:b w:val="0"/>
          <w:i w:val="0"/>
          <w:color w:val="000000"/>
          <w:sz w:val="22"/>
          <w:u w:val="none"/>
        </w:rPr>
        <w:t>Students apply chemistry to real-world problems that affect diverse communities — from clean water access in developing nations to green chemistry alternatives to hazardous industrial processes. Students examine how engineering solutions must account for social, cultural, and environmental impacts, especially on marginalized communities.</w:t>
      </w:r>
    </w:p>
    <w:p>
      <w:pPr>
        <w:spacing w:before="160" w:after="80"/>
        <w:jc w:val="left"/>
      </w:pPr>
      <w:r>
        <w:rPr>
          <w:rFonts w:ascii="Calibri" w:hAnsi="Calibri"/>
          <w:b/>
          <w:i w:val="0"/>
          <w:color w:val="1F4E79"/>
          <w:sz w:val="24"/>
          <w:u w:val="none"/>
        </w:rPr>
        <w:t>Assessment Overview</w:t>
      </w:r>
    </w:p>
    <w:p>
      <w:pPr>
        <w:spacing w:before="80" w:after="80"/>
        <w:jc w:val="left"/>
      </w:pPr>
      <w:r>
        <w:rPr>
          <w:rFonts w:ascii="Calibri" w:hAnsi="Calibri"/>
          <w:b/>
          <w:i w:val="0"/>
          <w:color w:val="000000"/>
          <w:sz w:val="22"/>
          <w:u w:val="none"/>
        </w:rPr>
        <w:t>Formative Assessments:</w:t>
      </w:r>
    </w:p>
    <w:p>
      <w:pPr>
        <w:pStyle w:val="ListBullet"/>
        <w:spacing w:before="20" w:after="20"/>
      </w:pPr>
      <w:r>
        <w:rPr>
          <w:rFonts w:ascii="Calibri" w:hAnsi="Calibri"/>
          <w:b w:val="0"/>
          <w:i w:val="0"/>
          <w:color w:val="000000"/>
          <w:sz w:val="22"/>
          <w:u w:val="none"/>
        </w:rPr>
        <w:t>Engineering design proposal checkpoint</w:t>
      </w:r>
    </w:p>
    <w:p>
      <w:pPr>
        <w:pStyle w:val="ListBullet"/>
        <w:spacing w:before="20" w:after="20"/>
      </w:pPr>
      <w:r>
        <w:rPr>
          <w:rFonts w:ascii="Calibri" w:hAnsi="Calibri"/>
          <w:b w:val="0"/>
          <w:i w:val="0"/>
          <w:color w:val="000000"/>
          <w:sz w:val="22"/>
          <w:u w:val="none"/>
        </w:rPr>
        <w:t>Peer review of design solutions</w:t>
      </w:r>
    </w:p>
    <w:p>
      <w:pPr>
        <w:pStyle w:val="ListBullet"/>
        <w:spacing w:before="20" w:after="20"/>
      </w:pPr>
      <w:r>
        <w:rPr>
          <w:rFonts w:ascii="Calibri" w:hAnsi="Calibri"/>
          <w:b w:val="0"/>
          <w:i w:val="0"/>
          <w:color w:val="000000"/>
          <w:sz w:val="22"/>
          <w:u w:val="none"/>
        </w:rPr>
        <w:t>Regents exam practice question sets</w:t>
      </w:r>
    </w:p>
    <w:p>
      <w:pPr>
        <w:spacing w:before="80" w:after="80"/>
        <w:jc w:val="left"/>
      </w:pPr>
      <w:r>
        <w:rPr>
          <w:rFonts w:ascii="Calibri" w:hAnsi="Calibri"/>
          <w:b/>
          <w:i w:val="0"/>
          <w:color w:val="000000"/>
          <w:sz w:val="22"/>
          <w:u w:val="none"/>
        </w:rPr>
        <w:t>Summative Assessments:</w:t>
      </w:r>
    </w:p>
    <w:p>
      <w:pPr>
        <w:pStyle w:val="ListBullet"/>
        <w:spacing w:before="20" w:after="20"/>
      </w:pPr>
      <w:r>
        <w:rPr>
          <w:rFonts w:ascii="Calibri" w:hAnsi="Calibri"/>
          <w:b w:val="0"/>
          <w:i w:val="0"/>
          <w:color w:val="000000"/>
          <w:sz w:val="22"/>
          <w:u w:val="none"/>
        </w:rPr>
        <w:t>Engineering Design Performance Task</w:t>
      </w:r>
    </w:p>
    <w:p>
      <w:pPr>
        <w:pStyle w:val="ListBullet"/>
        <w:spacing w:before="20" w:after="20"/>
      </w:pPr>
      <w:r>
        <w:rPr>
          <w:rFonts w:ascii="Calibri" w:hAnsi="Calibri"/>
          <w:b w:val="0"/>
          <w:i w:val="0"/>
          <w:color w:val="000000"/>
          <w:sz w:val="22"/>
          <w:u w:val="none"/>
        </w:rPr>
        <w:t>Cumulative Course Review Assessment</w:t>
      </w:r>
    </w:p>
    <w:p>
      <w:pPr>
        <w:spacing w:before="160" w:after="80"/>
        <w:jc w:val="left"/>
      </w:pPr>
      <w:r>
        <w:rPr>
          <w:rFonts w:ascii="Calibri" w:hAnsi="Calibri"/>
          <w:b/>
          <w:i w:val="0"/>
          <w:color w:val="1F4E79"/>
          <w:sz w:val="24"/>
          <w:u w:val="none"/>
        </w:rPr>
        <w:t>Required Investigations</w:t>
      </w:r>
    </w:p>
    <w:p>
      <w:pPr>
        <w:pStyle w:val="ListBullet"/>
        <w:spacing w:before="20" w:after="20"/>
      </w:pPr>
      <w:r>
        <w:rPr>
          <w:rFonts w:ascii="Calibri" w:hAnsi="Calibri"/>
          <w:b w:val="0"/>
          <w:i w:val="0"/>
          <w:color w:val="000000"/>
          <w:sz w:val="22"/>
          <w:u w:val="none"/>
        </w:rPr>
        <w:t>Investigation 11: Engineering Design Challenge — Solving a Chemistry-Based Problem</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