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3: Newton's Third Law and Action-Reaction Pairs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Newton's Third Law in Collisions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2000 kg SUV collides head-on with a 800 kg compact car. Both drivers report different experiences: the compact car driver is severely injured while the SUV driver walks away with minor bruises. A common misconception is that the SUV exerted a greater force on the compact car than the compact car exerted on the SUV.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Newton's Third Law, I claim that both vehicles experience the same magnitude of force during the collision, but the outcomes differ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Apply Newton's Third Law to identify the forces and Newton's Second Law (a = F/m) to calculate the acceleration experienced by each vehicle during the collision.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Newton's Third Law guarantees the forces are ___, but since the compact car has a ___ mass, it experiences a ___ acceleration (and deceleration), which results in greater injury risk. This is why vehicle safety standards consider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