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3: Newton's Laws &amp; Forces  |  Lesson 4: Free Body Diagrams and Net Force Calculations</w:t>
      </w:r>
    </w:p>
    <w:p>
      <w:pPr>
        <w:spacing w:before="0" w:after="80"/>
        <w:jc w:val="center"/>
      </w:pPr>
      <w:r>
        <w:rPr>
          <w:rFonts w:ascii="Calibri" w:hAnsi="Calibri"/>
          <w:b/>
          <w:i w:val="0"/>
          <w:color w:val="1F4E79"/>
          <w:sz w:val="24"/>
          <w:u w:val="none"/>
        </w:rPr>
        <w:t>Topic: Free Body Diagrams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An elevator contains a person standing on a bathroom scale. When the elevator is at rest on the ground floor, the scale reads 700 N. As the elevator begins to accelerate upward, the scale reads 840 N. As the elevator moves upward at constant velocity, the scale reads 700 N again. As the elevator decelerates near the top floor, the scale reads 560 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free body diagram analysis, I claim that the scale reading changes because the scale measures the normal force, not the true weight, and this normal force changes when...</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Draw a free body diagram for the person during each phase (at rest, accelerating up, constant velocity, decelerating). Calculate the net force and acceleration in each case.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when the elevator accelerates upward, the normal force must be ___ than the weight to produce a net ___ force, making the scale read ___. When decelerating, the net force is ___, so the normal force is ___ than the weight.</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