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4: Momentum &amp; Impulse  |  Lesson 6: Momentum Unit Review and Safety Engineering Design Challenge</w:t>
      </w:r>
    </w:p>
    <w:p>
      <w:pPr>
        <w:spacing w:before="0" w:after="80"/>
        <w:jc w:val="center"/>
      </w:pPr>
      <w:r>
        <w:rPr>
          <w:rFonts w:ascii="Calibri" w:hAnsi="Calibri"/>
          <w:b/>
          <w:i w:val="0"/>
          <w:color w:val="1F4E79"/>
          <w:sz w:val="24"/>
          <w:u w:val="none"/>
        </w:rPr>
        <w:t>Topic: Safety Engineering and Impulse</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company designs two phone cases: Case A is a rigid plastic shell (collision time when dropped: 0.005 s) and Case B is a soft silicone case with air pockets (collision time: 0.05 s). A 0.20 kg phone is dropped from 1.5 m onto a hard floor. With Case A, the screen cracks. With Case B, the phone is undamaged.</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impulse-momentum theorem, I claim that Case B protects the phone better because it reduces the peak force by a factor of ___ by...</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phone's velocity at impact (from free fall), the impulse needed to stop it, and the average force for each case. Compare the forces to the known screen breaking force.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both cases deliver the same impulse of ___ N·s, but Case A's force of ___ N exceeds the screen's breaking threshold while Case B's force of ___ N does not. The silicone air pockets work by increasing ___, which is the same principle behind 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