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7: Electromagnetic Induction and Unit Review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Electromagnetic Induction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hand-crank flashlight contains no batteries. When the user cranks the handle, a bright LED turns on. Inside, a small magnet spins rapidly near a coil of wire. When the user stops cranking, the light immediately dims and goes out. Some models include a capacitor that stores energy and keeps the light on for a few minutes after cranking stops.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Faraday's Law of electromagnetic induction, I claim that the flashlight generates electricity without batteries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Describe the energy transformations: mechanical energy from cranking → rotational kinetic energy of the magnet → changing magnetic field through the coil → induced current → electrical energy → light energy in the LED.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spinning the magnet creates a ___ magnetic field through the coil, which by Faraday's Law induces a ___. When cranking stops, the magnetic field stops ___, so no current is induced and the light ___. This demonstrates the principle that all generators use: ___ energy is converted to ___ energy through electromagnetic induction.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