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6: Work, Energy &amp; Power  |  Lesson 2: Kinetic Energy and the Work-Energy Theorem</w:t>
      </w:r>
    </w:p>
    <w:p>
      <w:pPr>
        <w:spacing w:before="0" w:after="80"/>
        <w:jc w:val="center"/>
      </w:pPr>
      <w:r>
        <w:rPr>
          <w:rFonts w:ascii="Calibri" w:hAnsi="Calibri"/>
          <w:b/>
          <w:i w:val="0"/>
          <w:color w:val="1F4E79"/>
          <w:sz w:val="24"/>
          <w:u w:val="none"/>
        </w:rPr>
        <w:t>Topic: Kinetic Energy and Vehicle Safety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On highways, the speed limit is typically 65 mph (29 m/s), while in school zones it is 20 mph (9 m/s). A 1500 kg car traveling at highway speed needs approximately 60 m to stop, but the same car in a school zone needs only about 6 m. Insurance data shows that pedestrian fatality rates increase dramatically above 30 mph.</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relationship between kinetic energy and speed, I claim that small increases in vehicle speed lead to disproportionately large increases in danger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kinetic energy of the 1500 kg car at both speeds. Find the ratio of KE at highway speed to KE at school zone speed. Relate this to the stopping distances provided.</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KE depends on v^2, so the car at ___ m/s has ___ times the KE of the car at ___ m/s, even though the speed is only ___ times greater. This means the brakes must remove ___ times more energy, explaining the ___ times longer stopping distance.</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