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4: Conservation of Mechanical Energy</w:t>
      </w:r>
    </w:p>
    <w:p>
      <w:pPr>
        <w:spacing w:before="0" w:after="80"/>
        <w:jc w:val="center"/>
      </w:pPr>
      <w:r>
        <w:rPr>
          <w:rFonts w:ascii="Calibri" w:hAnsi="Calibri"/>
          <w:b/>
          <w:i w:val="0"/>
          <w:color w:val="1F4E79"/>
          <w:sz w:val="24"/>
          <w:u w:val="none"/>
        </w:rPr>
        <w:t>Topic: Conservation of Energy on a Roller Coaster</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roller coaster car (mass 500 kg with passengers) starts from rest at the top of the first hill (height 45 m). The second hill is 30 m high. The third hill is 38 m high. After the third hill, the track is level, and brakes bring the car to rest over a distance of 25 m. A rider notices they feel fastest at the bottom of the first valley and slowest at the top of the third hill.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conservation of energy, I claim that the rider's observations are correct because the speed at any point depends on...</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speed at the bottom of the first valley, the top of the second hill, the top of the third hill, and determine the braking force needed to stop the car on the level section.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conservation of energy gives v = sqrt(2g(h_initial - h_point)), so the lowest point (h = 0) gives the ___ speed of ___ m/s, while the highest subsequent point (h = ___ m) gives the ___ speed of ___ m/s.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