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4: Conservation of Mechanical Energy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the law of conservation of energy to solve problems involving the transformation between kinetic and potential energy in systems without significant friction.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cannot be ________ or destroyed, ________ transformed from ________ form to ________ in a ________ system, total ________ remains constant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Mechanical Energy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sum of ________ energy and ________ energy in ________ system; ME ________ KE +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Conservative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force (like ________ for which ________ work done ________ independent of ________ and depends ________ on initial ________ final positions; ________ energy is ________ when only ________ forces act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Non-Conservative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force (like ________ that depends ________ path and ________ mechanical energy ________ thermal energy; ________ present, mechanical ________ is not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Transformation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changing from ________ form to ________ (e.g., PE ________ KE during ________ fall)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Law of Conservation of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Mechanical Energy — KE + PE = Constant (Without Friction)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Energy Bar Charts — A Visual Problem-Solving Tool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Solving Conservation of Energy Problems Step by Step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When Energy Is Not Conserved — The Role of Friction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Conservation of Mechanical Energy: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Conservation of Mechanical Energy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conservation of mechanical energy,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conservation of mechanical energy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