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4: Standing Waves and Resonance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standing waves form, identify harmonics and their node/antinode patterns, and describe resonance as the transfer of energy at a natural frequency.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Standing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wave pattern ________ appears to ________ stationary, formed ________ the interference ________ two identical ________ traveling in ________ directions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Node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on ________ standing wave ________ remains at ________ displacement; the ________ of permanent ________ interference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Antinode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on ________ standing wave ________ maximum displacement; ________ result of ________ constructive interference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Fundamental Frequency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lowest frequency ________ which a ________ wave can ________ also called ________ first harmonic; ________ a string, ________ = 2L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Harmonic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standing wave ________ at an ________ multiple of ________ fundamental frequency; ________ nth harmonic ________ frequency n ________ the fundamental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Resonance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dramatic increase ________ amplitude when ________ driving force ________ a natural ________ of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Standing Waves — How They Form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Nodes and Antinodes — Fixed Points in the Pattern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Harmonics — The Fundamental and Its Multiples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Resonance — When Frequency Matching Amplifies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Standing Waves and Resonance: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Standing Waves and Resonance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standing waves and resonance,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standing waves and resonance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