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9: Light, Optics &amp; the Electromagnetic Spectrum  |  Lesson 3: Refraction and Snell's Law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apply Snell's law to calculate the angle of refraction when light passes between media with different indices of refraction, and explain total internal reflection.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Refraction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bending of ________ as it ________ from one ________ to another ________ to a ________ in speed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Index of Refraction (n)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ratio of ________ speed of ________ in vacuum ________ the speed ________ light in ________ medium; n ________ c/v; higher ________ means slower ________ speed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Snell's Law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n_1 sin(theta_1) = ________ sin(theta_2); relates ________ and indices ________ refraction when ________ passes between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Total Internal Reflection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complete reflection ________ light at ________ boundary when ________ angle of ________ exceeds the ________ angle; occurs ________ when going ________ a denser ________ a less ________ medium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Critical Angle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minimum angle ________ incidence for ________ total internal ________ occurs; sin(theta_c) ________ n_2/n_1 where ________ &gt; n_2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Refraction — Why Light Bends at Boundaries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Index of Refraction — Measuring How Light Slows Down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Snell's Law — Calculating the Angle of Refraction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Total Internal Reflection and the Critical Angle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Fiber Optics — Total Internal Reflection in Action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Refraction and Snell's Law: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Refraction and Snell's Law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refraction and snell's law,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refraction and snell's law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