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5: The Electromagnetic Spectrum and Photon Energy</w:t>
      </w:r>
    </w:p>
    <w:p>
      <w:pPr>
        <w:spacing w:before="0" w:after="80"/>
        <w:jc w:val="center"/>
      </w:pPr>
      <w:r>
        <w:rPr>
          <w:rFonts w:ascii="Calibri" w:hAnsi="Calibri"/>
          <w:b/>
          <w:i w:val="0"/>
          <w:color w:val="1F4E79"/>
          <w:sz w:val="24"/>
          <w:u w:val="none"/>
        </w:rPr>
        <w:t>Topic: EM Radiation and Health</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People at high altitudes (such as in La Paz, Bolivia, at 3,640 m) have significantly higher rates of skin cancer than people at sea level, even though both groups may spend similar amounts of time outdoors. At high altitudes, the atmosphere is thinner and absorbs less UV radiation. Sunscreen with SPF 50 blocks approximately 98% of UV-B radiation.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relationship between EM radiation frequency, photon energy, and matter interactions, I claim that people at high altitudes face greater skin cancer risk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photon energy of UV-B radiation (frequency ~1 x 10^15 Hz). Compare to visible light photon energy. Explain how the thinner atmosphere at high altitude affects UV transmission.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UV photons have energy E = hf = ___ J, which is ___ enough to break chemical bonds in DNA molecules. At high altitude, ___ UV radiation reaches the surface because the thinner atmosphere absorbs ___. This demonstrates why photon ___ (not just intensity) determines the biological effect of radiation.</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