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Physics - CER Worksheet</w:t>
      </w:r>
    </w:p>
    <w:p>
      <w:pPr>
        <w:spacing w:before="0" w:after="80"/>
        <w:jc w:val="center"/>
      </w:pPr>
      <w:r>
        <w:rPr>
          <w:rFonts w:ascii="Calibri" w:hAnsi="Calibri"/>
          <w:b w:val="0"/>
          <w:i/>
          <w:color w:val="1F4E79"/>
          <w:sz w:val="22"/>
          <w:u w:val="none"/>
        </w:rPr>
        <w:t>Unit 10: Nuclear Physics  |  Lesson 3: Fission, Fusion, and Mass-Energy Equivalence</w:t>
      </w:r>
    </w:p>
    <w:p>
      <w:pPr>
        <w:spacing w:before="0" w:after="80"/>
        <w:jc w:val="center"/>
      </w:pPr>
      <w:r>
        <w:rPr>
          <w:rFonts w:ascii="Calibri" w:hAnsi="Calibri"/>
          <w:b/>
          <w:i w:val="0"/>
          <w:color w:val="1F4E79"/>
          <w:sz w:val="24"/>
          <w:u w:val="none"/>
        </w:rPr>
        <w:t>Topic: Nuclear Energy and Society</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France generates approximately 70% of its electricity from nuclear fission, while Germany has decided to shut down all its nuclear power plants by 2023 in favor of renewable energy. France has one of the lowest carbon emission rates per kWh in Europe. Germany's carbon emissions per kWh are higher because it still relies partly on coal. However, France must manage radioactive waste storage, while Germany does not face this issue with its renewable infrastructure.</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Based on the physics of nuclear fission and the data on carbon emissions and waste management, I claim that the choice between nuclear and renewable energy involves significant trade-offs that depend on a community's priorities because...</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Compare the carbon emissions, waste products, and energy reliability of nuclear fission versus renewable sources. Consider the scale of energy needed and the physics of each source.</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This evidence supports my claim because nuclear fission produces ___ carbon emissions but generates ___ waste that remains dangerous for ___. Renewable sources produce ___ waste and ___ carbon emissions but face challenges with ___ and ___. The 'best' choice depends on whether a community prioritizes ___ or ___, demonstrating that physics informs but does not dictate policy decisions.</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