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3: Fission, Fusion, and Mass-Energy Equivalence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compare nuclear fission and fusion, explain mass-energy equivalence (E = mc^2), and evaluate the benefits and risks of nuclear energy applications.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Fission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splitting of ________ heavy nucleus ________ two lighter ________ releasing energy ________ additional neutrons; ________ in nuclear ________ plants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Fusion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combining of ________ light nuclei ________ form a ________ nucleus, releasing ________ powers the ________ and stars; ________ more energy ________ unit mass ________ fission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Mass-Energy Equivalence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Einstein's principle that ________ and energy ________ interchangeable; E ________ mc^2, where ________ is the ________ of light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Defect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between ________ mass of ________ nucleus and ________ sum of ________ masses of ________ individual protons ________ neutrons; this ________ has been ________ to binding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Chain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self-sustaining sequence ________ fission reactions ________ neutrons from ________ fission trigger ________ fissions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Binding Energy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completely separate ________ protons and ________ in a ________ equivalent to ________ mass defect ________ c^2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Nuclear Fission — Splitting Heavy Nuclei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Nuclear Fusion — Combining Light Nuclei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Mass-Energy Equivalence — E = mc^2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Binding Energy Curve — Why Fission and Fusion Both Release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Nuclear Applications — Power, Medicine, and Societal Impact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Fission, Fusion, and Mass-Energy Equivalence: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Fission, Fusion, and Mass-Energy Equivalence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fission, fusion, and mass-energy equivalence,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fission, fusion, and mass-energy equivalence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