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Physics - Unit 10: Nuclear Physics</w:t>
      </w:r>
    </w:p>
    <w:p>
      <w:pPr>
        <w:spacing w:before="0" w:after="160"/>
        <w:jc w:val="center"/>
      </w:pPr>
      <w:r>
        <w:rPr>
          <w:rFonts w:ascii="Calibri" w:hAnsi="Calibri"/>
          <w:b w:val="0"/>
          <w:i/>
          <w:color w:val="1F4E79"/>
          <w:sz w:val="22"/>
          <w:u w:val="none"/>
        </w:rPr>
        <w:t>Duration: 7 days  |  Performance Expectations: HS-PS1-8</w:t>
      </w:r>
    </w:p>
    <w:p>
      <w:pPr>
        <w:spacing w:before="40" w:after="40"/>
        <w:pBdr>
          <w:bottom w:val="single" w:sz="4" w:space="1" w:color="1F4E79"/>
        </w:pBdr>
      </w:pPr>
    </w:p>
    <w:p>
      <w:pPr>
        <w:spacing w:before="160" w:after="80"/>
        <w:jc w:val="left"/>
      </w:pPr>
      <w:r>
        <w:rPr>
          <w:rFonts w:ascii="Calibri" w:hAnsi="Calibri"/>
          <w:b/>
          <w:i w:val="0"/>
          <w:color w:val="1F4E79"/>
          <w:sz w:val="24"/>
          <w:u w:val="none"/>
        </w:rPr>
        <w:t>Anchoring Phenomenon</w:t>
      </w:r>
    </w:p>
    <w:p>
      <w:pPr>
        <w:spacing w:before="80" w:after="80"/>
        <w:shd w:fill="D6E4F0" w:val="clear"/>
      </w:pPr>
      <w:r>
        <w:rPr>
          <w:rFonts w:ascii="Calibri" w:hAnsi="Calibri"/>
          <w:b/>
          <w:i w:val="0"/>
          <w:color w:val="1F4E79"/>
          <w:sz w:val="22"/>
          <w:u w:val="none"/>
        </w:rPr>
        <w:t xml:space="preserve">Phenomenon: </w:t>
      </w:r>
      <w:r>
        <w:rPr>
          <w:rFonts w:ascii="Calibri" w:hAnsi="Calibri"/>
          <w:b w:val="0"/>
          <w:i w:val="0"/>
          <w:color w:val="000000"/>
          <w:sz w:val="22"/>
          <w:u w:val="none"/>
        </w:rPr>
        <w:t>The Sun produces enough energy every second to power human civilization for 500,000 years, yet it has been burning for 4.6 billion years without any chemical fuel. What process could possibly produce this much energy for this long?</w:t>
      </w:r>
    </w:p>
    <w:p>
      <w:pPr>
        <w:spacing w:before="160" w:after="80"/>
        <w:jc w:val="left"/>
      </w:pPr>
      <w:r>
        <w:rPr>
          <w:rFonts w:ascii="Calibri" w:hAnsi="Calibri"/>
          <w:b/>
          <w:i w:val="0"/>
          <w:color w:val="1F4E79"/>
          <w:sz w:val="24"/>
          <w:u w:val="none"/>
        </w:rPr>
        <w:t>Essential Questions</w:t>
      </w:r>
    </w:p>
    <w:p>
      <w:pPr>
        <w:pStyle w:val="ListBullet"/>
        <w:spacing w:before="20" w:after="20"/>
      </w:pPr>
      <w:r>
        <w:rPr>
          <w:rFonts w:ascii="Calibri" w:hAnsi="Calibri"/>
          <w:b w:val="0"/>
          <w:i w:val="0"/>
          <w:color w:val="000000"/>
          <w:sz w:val="22"/>
          <w:u w:val="none"/>
        </w:rPr>
        <w:t>What holds the nucleus together, and what happens when it breaks apart?</w:t>
      </w:r>
    </w:p>
    <w:p>
      <w:pPr>
        <w:pStyle w:val="ListBullet"/>
        <w:spacing w:before="20" w:after="20"/>
      </w:pPr>
      <w:r>
        <w:rPr>
          <w:rFonts w:ascii="Calibri" w:hAnsi="Calibri"/>
          <w:b w:val="0"/>
          <w:i w:val="0"/>
          <w:color w:val="000000"/>
          <w:sz w:val="22"/>
          <w:u w:val="none"/>
        </w:rPr>
        <w:t>How do we use radioactive decay to determine the age of objects and diagnose diseases?</w:t>
      </w:r>
    </w:p>
    <w:p>
      <w:pPr>
        <w:pStyle w:val="ListBullet"/>
        <w:spacing w:before="20" w:after="20"/>
      </w:pPr>
      <w:r>
        <w:rPr>
          <w:rFonts w:ascii="Calibri" w:hAnsi="Calibri"/>
          <w:b w:val="0"/>
          <w:i w:val="0"/>
          <w:color w:val="000000"/>
          <w:sz w:val="22"/>
          <w:u w:val="none"/>
        </w:rPr>
        <w:t>How does E = mc^2 explain the enormous energy released in nuclear processes?</w:t>
      </w:r>
    </w:p>
    <w:p>
      <w:pPr>
        <w:spacing w:before="160" w:after="80"/>
        <w:jc w:val="left"/>
      </w:pPr>
      <w:r>
        <w:rPr>
          <w:rFonts w:ascii="Calibri" w:hAnsi="Calibri"/>
          <w:b/>
          <w:i w:val="0"/>
          <w:color w:val="1F4E79"/>
          <w:sz w:val="24"/>
          <w:u w:val="none"/>
        </w:rPr>
        <w:t>Unit Pacing &amp; Sequence</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008"/>
            <w:shd w:fill="1F4E79" w:val="clear"/>
          </w:tcPr>
          <w:p>
            <w:pPr>
              <w:jc w:val="center"/>
            </w:pPr>
            <w:r/>
            <w:r>
              <w:rPr>
                <w:rFonts w:ascii="Calibri" w:hAnsi="Calibri"/>
                <w:b/>
                <w:i w:val="0"/>
                <w:color w:val="FFFFFF"/>
                <w:sz w:val="22"/>
                <w:u w:val="none"/>
              </w:rPr>
              <w:t>Lesson #</w:t>
            </w:r>
          </w:p>
        </w:tc>
        <w:tc>
          <w:tcPr>
            <w:tcW w:type="dxa" w:w="2880"/>
            <w:shd w:fill="1F4E79" w:val="clear"/>
          </w:tcPr>
          <w:p>
            <w:pPr>
              <w:jc w:val="center"/>
            </w:pPr>
            <w:r/>
            <w:r>
              <w:rPr>
                <w:rFonts w:ascii="Calibri" w:hAnsi="Calibri"/>
                <w:b/>
                <w:i w:val="0"/>
                <w:color w:val="FFFFFF"/>
                <w:sz w:val="22"/>
                <w:u w:val="none"/>
              </w:rPr>
              <w:t>Title</w:t>
            </w:r>
          </w:p>
        </w:tc>
        <w:tc>
          <w:tcPr>
            <w:tcW w:type="dxa" w:w="864"/>
            <w:shd w:fill="1F4E79" w:val="clear"/>
          </w:tcPr>
          <w:p>
            <w:pPr>
              <w:jc w:val="center"/>
            </w:pPr>
            <w:r/>
            <w:r>
              <w:rPr>
                <w:rFonts w:ascii="Calibri" w:hAnsi="Calibri"/>
                <w:b/>
                <w:i w:val="0"/>
                <w:color w:val="FFFFFF"/>
                <w:sz w:val="22"/>
                <w:u w:val="none"/>
              </w:rPr>
              <w:t>Days</w:t>
            </w:r>
          </w:p>
        </w:tc>
        <w:tc>
          <w:tcPr>
            <w:tcW w:type="dxa" w:w="5040"/>
            <w:shd w:fill="1F4E79" w:val="clear"/>
          </w:tcPr>
          <w:p>
            <w:pPr>
              <w:jc w:val="center"/>
            </w:pPr>
            <w:r/>
            <w:r>
              <w:rPr>
                <w:rFonts w:ascii="Calibri" w:hAnsi="Calibri"/>
                <w:b/>
                <w:i w:val="0"/>
                <w:color w:val="FFFFFF"/>
                <w:sz w:val="22"/>
                <w:u w:val="none"/>
              </w:rPr>
              <w:t>Description</w:t>
            </w:r>
          </w:p>
        </w:tc>
      </w:tr>
      <w:tr>
        <w:tc>
          <w:tcPr>
            <w:tcW w:type="dxa" w:w="1008"/>
          </w:tcPr>
          <w:p>
            <w:r/>
            <w:r>
              <w:rPr>
                <w:rFonts w:ascii="Calibri" w:hAnsi="Calibri"/>
                <w:b w:val="0"/>
                <w:i w:val="0"/>
                <w:color w:val="000000"/>
                <w:sz w:val="22"/>
                <w:u w:val="none"/>
              </w:rPr>
              <w:t>1</w:t>
            </w:r>
          </w:p>
        </w:tc>
        <w:tc>
          <w:tcPr>
            <w:tcW w:type="dxa" w:w="2880"/>
          </w:tcPr>
          <w:p>
            <w:r/>
            <w:r>
              <w:rPr>
                <w:rFonts w:ascii="Calibri" w:hAnsi="Calibri"/>
                <w:b w:val="0"/>
                <w:i w:val="0"/>
                <w:color w:val="000000"/>
                <w:sz w:val="22"/>
                <w:u w:val="none"/>
              </w:rPr>
              <w:t>Nuclear Structure, Stability, and Radioactive Decay</w:t>
            </w:r>
          </w:p>
        </w:tc>
        <w:tc>
          <w:tcPr>
            <w:tcW w:type="dxa" w:w="864"/>
          </w:tcPr>
          <w:p>
            <w:r/>
            <w:r>
              <w:rPr>
                <w:rFonts w:ascii="Calibri" w:hAnsi="Calibri"/>
                <w:b w:val="0"/>
                <w:i w:val="0"/>
                <w:color w:val="000000"/>
                <w:sz w:val="22"/>
                <w:u w:val="none"/>
              </w:rPr>
              <w:t>3</w:t>
            </w:r>
          </w:p>
        </w:tc>
        <w:tc>
          <w:tcPr>
            <w:tcW w:type="dxa" w:w="5040"/>
          </w:tcPr>
          <w:p>
            <w:r/>
            <w:r>
              <w:rPr>
                <w:rFonts w:ascii="Calibri" w:hAnsi="Calibri"/>
                <w:b w:val="0"/>
                <w:i w:val="0"/>
                <w:color w:val="000000"/>
                <w:sz w:val="22"/>
                <w:u w:val="none"/>
              </w:rPr>
              <w:t>At the end of 42 minutes I can describe the structure of the nucleus, identify the three types of radioactive decay (alp...</w:t>
            </w:r>
          </w:p>
        </w:tc>
      </w:tr>
      <w:tr>
        <w:tc>
          <w:tcPr>
            <w:tcW w:type="dxa" w:w="1008"/>
            <w:shd w:fill="F2F2F2" w:val="clear"/>
          </w:tcPr>
          <w:p>
            <w:r/>
            <w:r>
              <w:rPr>
                <w:rFonts w:ascii="Calibri" w:hAnsi="Calibri"/>
                <w:b w:val="0"/>
                <w:i w:val="0"/>
                <w:color w:val="000000"/>
                <w:sz w:val="22"/>
                <w:u w:val="none"/>
              </w:rPr>
              <w:t>2</w:t>
            </w:r>
          </w:p>
        </w:tc>
        <w:tc>
          <w:tcPr>
            <w:tcW w:type="dxa" w:w="2880"/>
            <w:shd w:fill="F2F2F2" w:val="clear"/>
          </w:tcPr>
          <w:p>
            <w:r/>
            <w:r>
              <w:rPr>
                <w:rFonts w:ascii="Calibri" w:hAnsi="Calibri"/>
                <w:b w:val="0"/>
                <w:i w:val="0"/>
                <w:color w:val="000000"/>
                <w:sz w:val="22"/>
                <w:u w:val="none"/>
              </w:rPr>
              <w:t>Half-Life Calculations and Applications</w:t>
            </w:r>
          </w:p>
        </w:tc>
        <w:tc>
          <w:tcPr>
            <w:tcW w:type="dxa" w:w="864"/>
            <w:shd w:fill="F2F2F2" w:val="clear"/>
          </w:tcPr>
          <w:p>
            <w:r/>
            <w:r>
              <w:rPr>
                <w:rFonts w:ascii="Calibri" w:hAnsi="Calibri"/>
                <w:b w:val="0"/>
                <w:i w:val="0"/>
                <w:color w:val="000000"/>
                <w:sz w:val="22"/>
                <w:u w:val="none"/>
              </w:rPr>
              <w:t>2</w:t>
            </w:r>
          </w:p>
        </w:tc>
        <w:tc>
          <w:tcPr>
            <w:tcW w:type="dxa" w:w="5040"/>
            <w:shd w:fill="F2F2F2" w:val="clear"/>
          </w:tcPr>
          <w:p>
            <w:r/>
            <w:r>
              <w:rPr>
                <w:rFonts w:ascii="Calibri" w:hAnsi="Calibri"/>
                <w:b w:val="0"/>
                <w:i w:val="0"/>
                <w:color w:val="000000"/>
                <w:sz w:val="22"/>
                <w:u w:val="none"/>
              </w:rPr>
              <w:t>At the end of 42 minutes I can calculate the amount of a radioactive substance remaining after a given number of half-li...</w:t>
            </w:r>
          </w:p>
        </w:tc>
      </w:tr>
      <w:tr>
        <w:tc>
          <w:tcPr>
            <w:tcW w:type="dxa" w:w="1008"/>
          </w:tcPr>
          <w:p>
            <w:r/>
            <w:r>
              <w:rPr>
                <w:rFonts w:ascii="Calibri" w:hAnsi="Calibri"/>
                <w:b w:val="0"/>
                <w:i w:val="0"/>
                <w:color w:val="000000"/>
                <w:sz w:val="22"/>
                <w:u w:val="none"/>
              </w:rPr>
              <w:t>3</w:t>
            </w:r>
          </w:p>
        </w:tc>
        <w:tc>
          <w:tcPr>
            <w:tcW w:type="dxa" w:w="2880"/>
          </w:tcPr>
          <w:p>
            <w:r/>
            <w:r>
              <w:rPr>
                <w:rFonts w:ascii="Calibri" w:hAnsi="Calibri"/>
                <w:b w:val="0"/>
                <w:i w:val="0"/>
                <w:color w:val="000000"/>
                <w:sz w:val="22"/>
                <w:u w:val="none"/>
              </w:rPr>
              <w:t>Fission, Fusion, and Mass-Energy Equivalence</w:t>
            </w:r>
          </w:p>
        </w:tc>
        <w:tc>
          <w:tcPr>
            <w:tcW w:type="dxa" w:w="864"/>
          </w:tcPr>
          <w:p>
            <w:r/>
            <w:r>
              <w:rPr>
                <w:rFonts w:ascii="Calibri" w:hAnsi="Calibri"/>
                <w:b w:val="0"/>
                <w:i w:val="0"/>
                <w:color w:val="000000"/>
                <w:sz w:val="22"/>
                <w:u w:val="none"/>
              </w:rPr>
              <w:t>2</w:t>
            </w:r>
          </w:p>
        </w:tc>
        <w:tc>
          <w:tcPr>
            <w:tcW w:type="dxa" w:w="5040"/>
          </w:tcPr>
          <w:p>
            <w:r/>
            <w:r>
              <w:rPr>
                <w:rFonts w:ascii="Calibri" w:hAnsi="Calibri"/>
                <w:b w:val="0"/>
                <w:i w:val="0"/>
                <w:color w:val="000000"/>
                <w:sz w:val="22"/>
                <w:u w:val="none"/>
              </w:rPr>
              <w:t>At the end of 42 minutes I can compare nuclear fission and fusion, explain mass-energy equivalence (E = mc^2), and evalu...</w:t>
            </w:r>
          </w:p>
        </w:tc>
      </w:tr>
    </w:tbl>
    <w:p/>
    <w:p>
      <w:pPr>
        <w:spacing w:before="160" w:after="80"/>
        <w:jc w:val="left"/>
      </w:pPr>
      <w:r>
        <w:rPr>
          <w:rFonts w:ascii="Calibri" w:hAnsi="Calibri"/>
          <w:b/>
          <w:i w:val="0"/>
          <w:color w:val="1F4E79"/>
          <w:sz w:val="24"/>
          <w:u w:val="none"/>
        </w:rPr>
        <w:t>Standards Map</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HS-PS1-8</w:t>
            </w:r>
          </w:p>
        </w:tc>
        <w:tc>
          <w:tcPr>
            <w:tcW w:type="dxa" w:w="2880"/>
          </w:tcPr>
          <w:p>
            <w:r/>
            <w:r>
              <w:rPr>
                <w:rFonts w:ascii="Calibri" w:hAnsi="Calibri"/>
                <w:b w:val="0"/>
                <w:i w:val="0"/>
                <w:color w:val="000000"/>
                <w:sz w:val="22"/>
                <w:u w:val="none"/>
              </w:rPr>
              <w:t>Analyzing and Interpreting Data</w:t>
              <w:br/>
              <w:t>Constructing Explanations and Designing Solutions</w:t>
              <w:br/>
              <w:t>Developing and Using Models</w:t>
              <w:br/>
              <w:t>Engaging in Argument from Evidence</w:t>
              <w:br/>
              <w:t>Using Mathematics and Computational Thinking</w:t>
            </w:r>
          </w:p>
        </w:tc>
        <w:tc>
          <w:tcPr>
            <w:tcW w:type="dxa" w:w="2160"/>
          </w:tcPr>
          <w:p>
            <w:r/>
            <w:r>
              <w:rPr>
                <w:rFonts w:ascii="Calibri" w:hAnsi="Calibri"/>
                <w:b w:val="0"/>
                <w:i w:val="0"/>
                <w:color w:val="000000"/>
                <w:sz w:val="22"/>
                <w:u w:val="none"/>
              </w:rPr>
              <w:t>Energy and Matter in Systems</w:t>
              <w:br/>
              <w:t>Scale, Proportion, and Quantity</w:t>
              <w:br/>
              <w:t>Stability and Change</w:t>
            </w:r>
          </w:p>
        </w:tc>
        <w:tc>
          <w:tcPr>
            <w:tcW w:type="dxa" w:w="3600"/>
          </w:tcPr>
          <w:p>
            <w:r/>
            <w:r>
              <w:rPr>
                <w:rFonts w:ascii="Calibri" w:hAnsi="Calibri"/>
                <w:b w:val="0"/>
                <w:i w:val="0"/>
                <w:color w:val="000000"/>
                <w:sz w:val="22"/>
                <w:u w:val="none"/>
              </w:rPr>
              <w:t>PS1.C: Nuclear Processes</w:t>
            </w:r>
          </w:p>
        </w:tc>
      </w:tr>
    </w:tbl>
    <w:p/>
    <w:p>
      <w:pPr>
        <w:spacing w:before="160" w:after="80"/>
        <w:jc w:val="left"/>
      </w:pPr>
      <w:r>
        <w:rPr>
          <w:rFonts w:ascii="Calibri" w:hAnsi="Calibri"/>
          <w:b/>
          <w:i w:val="0"/>
          <w:color w:val="1F4E79"/>
          <w:sz w:val="24"/>
          <w:u w:val="none"/>
        </w:rPr>
        <w:t>CRSE Theme</w:t>
      </w:r>
    </w:p>
    <w:p>
      <w:pPr>
        <w:spacing w:before="80" w:after="80"/>
        <w:shd w:fill="E2EFDA" w:val="clear"/>
      </w:pPr>
      <w:r>
        <w:rPr>
          <w:rFonts w:ascii="Calibri" w:hAnsi="Calibri"/>
          <w:b/>
          <w:i w:val="0"/>
          <w:color w:val="1F4E79"/>
          <w:sz w:val="22"/>
          <w:u w:val="none"/>
        </w:rPr>
        <w:t xml:space="preserve">Theme: </w:t>
      </w:r>
      <w:r>
        <w:rPr>
          <w:rFonts w:ascii="Calibri" w:hAnsi="Calibri"/>
          <w:b w:val="0"/>
          <w:i w:val="0"/>
          <w:color w:val="000000"/>
          <w:sz w:val="22"/>
          <w:u w:val="none"/>
        </w:rPr>
        <w:t>Students explore nuclear physics through its profound impacts on human society — the science of nuclear energy and weapons, the debate over nuclear power in communities (Fukushima, Three Mile Island, and environmental justice in siting of nuclear facilities), contributions of Lise Meitner to the discovery of fission, and applications in medicine and archaeology.</w:t>
      </w:r>
    </w:p>
    <w:p>
      <w:pPr>
        <w:spacing w:before="160" w:after="80"/>
        <w:jc w:val="left"/>
      </w:pPr>
      <w:r>
        <w:rPr>
          <w:rFonts w:ascii="Calibri" w:hAnsi="Calibri"/>
          <w:b/>
          <w:i w:val="0"/>
          <w:color w:val="1F4E79"/>
          <w:sz w:val="24"/>
          <w:u w:val="none"/>
        </w:rPr>
        <w:t>Assessment Overview</w:t>
      </w:r>
    </w:p>
    <w:p>
      <w:pPr>
        <w:spacing w:before="80" w:after="80"/>
        <w:jc w:val="left"/>
      </w:pPr>
      <w:r>
        <w:rPr>
          <w:rFonts w:ascii="Calibri" w:hAnsi="Calibri"/>
          <w:b/>
          <w:i w:val="0"/>
          <w:color w:val="000000"/>
          <w:sz w:val="22"/>
          <w:u w:val="none"/>
        </w:rPr>
        <w:t>Formative Assessments:</w:t>
      </w:r>
    </w:p>
    <w:p>
      <w:pPr>
        <w:pStyle w:val="ListBullet"/>
        <w:spacing w:before="20" w:after="20"/>
      </w:pPr>
      <w:r>
        <w:rPr>
          <w:rFonts w:ascii="Calibri" w:hAnsi="Calibri"/>
          <w:b w:val="0"/>
          <w:i w:val="0"/>
          <w:color w:val="000000"/>
          <w:sz w:val="22"/>
          <w:u w:val="none"/>
        </w:rPr>
        <w:t>Exit tickets on decay equations and half-life calculations</w:t>
      </w:r>
    </w:p>
    <w:p>
      <w:pPr>
        <w:pStyle w:val="ListBullet"/>
        <w:spacing w:before="20" w:after="20"/>
      </w:pPr>
      <w:r>
        <w:rPr>
          <w:rFonts w:ascii="Calibri" w:hAnsi="Calibri"/>
          <w:b w:val="0"/>
          <w:i w:val="0"/>
          <w:color w:val="000000"/>
          <w:sz w:val="22"/>
          <w:u w:val="none"/>
        </w:rPr>
        <w:t>Nuclear reaction balancing checks</w:t>
      </w:r>
    </w:p>
    <w:p>
      <w:pPr>
        <w:pStyle w:val="ListBullet"/>
        <w:spacing w:before="20" w:after="20"/>
      </w:pPr>
      <w:r>
        <w:rPr>
          <w:rFonts w:ascii="Calibri" w:hAnsi="Calibri"/>
          <w:b w:val="0"/>
          <w:i w:val="0"/>
          <w:color w:val="000000"/>
          <w:sz w:val="22"/>
          <w:u w:val="none"/>
        </w:rPr>
        <w:t>Fission vs. fusion comparison activities</w:t>
      </w:r>
    </w:p>
    <w:p>
      <w:pPr>
        <w:spacing w:before="80" w:after="80"/>
        <w:jc w:val="left"/>
      </w:pPr>
      <w:r>
        <w:rPr>
          <w:rFonts w:ascii="Calibri" w:hAnsi="Calibri"/>
          <w:b/>
          <w:i w:val="0"/>
          <w:color w:val="000000"/>
          <w:sz w:val="22"/>
          <w:u w:val="none"/>
        </w:rPr>
        <w:t>Summative Assessments:</w:t>
      </w:r>
    </w:p>
    <w:p>
      <w:pPr>
        <w:pStyle w:val="ListBullet"/>
        <w:spacing w:before="20" w:after="20"/>
      </w:pPr>
      <w:r>
        <w:rPr>
          <w:rFonts w:ascii="Calibri" w:hAnsi="Calibri"/>
          <w:b w:val="0"/>
          <w:i w:val="0"/>
          <w:color w:val="000000"/>
          <w:sz w:val="22"/>
          <w:u w:val="none"/>
        </w:rPr>
        <w:t>Unit 10 Exam: Nuclear Physics</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