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d4db707cdbdbeb4e60460b7fc9d82cbe8fb5a7"/>
    <w:p>
      <w:pPr>
        <w:pStyle w:val="Heading1"/>
      </w:pPr>
      <w:r>
        <w:t xml:space="preserve">Newton’s Third Law (Action and Reaction) — Student Notes</w:t>
      </w:r>
    </w:p>
    <w:p>
      <w:pPr>
        <w:pStyle w:val="FirstParagraph"/>
      </w:pPr>
      <w:r>
        <w:rPr>
          <w:b/>
          <w:bCs/>
        </w:rPr>
        <w:t xml:space="preserve">Unit: Forces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Newton’s Third Law in my own words.</w:t>
      </w:r>
    </w:p>
    <w:p>
      <w:pPr>
        <w:pStyle w:val="Compact"/>
        <w:numPr>
          <w:ilvl w:val="0"/>
          <w:numId w:val="1001"/>
        </w:numPr>
      </w:pPr>
      <w:r>
        <w:t xml:space="preserve">Identify both members of an</w:t>
      </w:r>
      <w:r>
        <w:t xml:space="preserve"> </w:t>
      </w:r>
      <w:r>
        <w:rPr>
          <w:b/>
          <w:bCs/>
        </w:rPr>
        <w:t xml:space="preserve">action–reaction pair</w:t>
      </w:r>
      <w:r>
        <w:t xml:space="preserve"> </w:t>
      </w:r>
      <w:r>
        <w:t xml:space="preserve">and the two objects each force acts on.</w:t>
      </w:r>
    </w:p>
    <w:p>
      <w:pPr>
        <w:pStyle w:val="Compact"/>
        <w:numPr>
          <w:ilvl w:val="0"/>
          <w:numId w:val="1001"/>
        </w:numPr>
      </w:pPr>
      <w:r>
        <w:t xml:space="preserve">Explain why an action–reaction pair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cancel.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action–reaction pair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force pair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 (Newton’s Third Law):</w:t>
      </w:r>
      <w:r>
        <w:t xml:space="preserve"> </w:t>
      </w:r>
      <w:r>
        <w:t xml:space="preserve">For every action force there is an equal-in-__________ , opposite-in-__________ reaction force.</w:t>
      </w:r>
    </w:p>
    <w:p>
      <w:pPr>
        <w:pStyle w:val="Compact"/>
        <w:numPr>
          <w:ilvl w:val="0"/>
          <w:numId w:val="1003"/>
        </w:numPr>
      </w:pPr>
      <w:r>
        <w:t xml:space="preserve">A force is always one half of an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between __________ objects.</w:t>
      </w:r>
    </w:p>
    <w:p>
      <w:pPr>
        <w:pStyle w:val="Compact"/>
        <w:numPr>
          <w:ilvl w:val="0"/>
          <w:numId w:val="1003"/>
        </w:numPr>
      </w:pPr>
      <w:r>
        <w:t xml:space="preserve">The two forces in a</w:t>
      </w:r>
      <w:r>
        <w:t xml:space="preserve"> </w:t>
      </w:r>
      <w:r>
        <w:rPr>
          <w:b/>
          <w:bCs/>
        </w:rPr>
        <w:t xml:space="preserve">force pair</w:t>
      </w:r>
      <w:r>
        <w:t xml:space="preserve"> </w:t>
      </w:r>
      <w:r>
        <w:t xml:space="preserve">are equal in __________ and opposite in __________.</w:t>
      </w:r>
    </w:p>
    <w:p>
      <w:pPr>
        <w:pStyle w:val="Compact"/>
        <w:numPr>
          <w:ilvl w:val="0"/>
          <w:numId w:val="1003"/>
        </w:numPr>
      </w:pPr>
      <w:r>
        <w:t xml:space="preserve">The two forces act on __________ (same / different) objects.</w:t>
      </w:r>
    </w:p>
    <w:p>
      <w:pPr>
        <w:pStyle w:val="Compact"/>
        <w:numPr>
          <w:ilvl w:val="0"/>
          <w:numId w:val="1003"/>
        </w:numPr>
      </w:pPr>
      <w:r>
        <w:t xml:space="preserve">Because they act on different objects, an action–reaction pair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__________.</w:t>
      </w:r>
    </w:p>
    <w:p>
      <w:pPr>
        <w:pStyle w:val="FirstParagraph"/>
      </w:pPr>
      <w:r>
        <w:rPr>
          <w:b/>
          <w:bCs/>
        </w:rPr>
        <w:t xml:space="preserve">Force pair — student pushes off a wall (fill the arrows):</w:t>
      </w:r>
    </w:p>
    <w:p>
      <w:pPr>
        <w:pStyle w:val="Compact"/>
        <w:numPr>
          <w:ilvl w:val="0"/>
          <w:numId w:val="1004"/>
        </w:numPr>
      </w:pPr>
      <w:r>
        <w:t xml:space="preserve">Action: the student pushes the wall __________.</w:t>
      </w:r>
    </w:p>
    <w:p>
      <w:pPr>
        <w:pStyle w:val="Compact"/>
        <w:numPr>
          <w:ilvl w:val="0"/>
          <w:numId w:val="1004"/>
        </w:numPr>
      </w:pPr>
      <w:r>
        <w:t xml:space="preserve">Reaction: the wall pushes the student __________.</w:t>
      </w:r>
    </w:p>
    <w:p>
      <w:pPr>
        <w:pStyle w:val="Compact"/>
        <w:numPr>
          <w:ilvl w:val="0"/>
          <w:numId w:val="1004"/>
        </w:numPr>
      </w:pPr>
      <w:r>
        <w:t xml:space="preserve">These two forces act on __________ different objects: the __________ and the __________.</w:t>
      </w:r>
    </w:p>
    <w:p>
      <w:pPr>
        <w:pStyle w:val="FirstParagraph"/>
      </w:pPr>
      <w:r>
        <w:rPr>
          <w:b/>
          <w:bCs/>
        </w:rPr>
        <w:t xml:space="preserve">Same forces, different motion:</w:t>
      </w:r>
      <w:r>
        <w:t xml:space="preserve"> </w:t>
      </w:r>
      <w:r>
        <w:t xml:space="preserve">If two people push off with equal forces, the one with __________ mass speeds up __________ (recall Lesson 02: a = F/m).</w:t>
      </w:r>
    </w:p>
    <w:p>
      <w:pPr>
        <w:pStyle w:val="BodyText"/>
      </w:pPr>
      <w:r>
        <w:t xml:space="preserve">The two forces in a pair are vectors of the</w:t>
      </w:r>
      <w:r>
        <w:t xml:space="preserve"> </w:t>
      </w:r>
      <w:r>
        <w:rPr>
          <w:b/>
          <w:bCs/>
        </w:rPr>
        <w:t xml:space="preserve">same length</w:t>
      </w:r>
      <w:r>
        <w:t xml:space="preserve"> </w:t>
      </w:r>
      <w:r>
        <w:t xml:space="preserve">pointing in</w:t>
      </w:r>
      <w:r>
        <w:t xml:space="preserve"> </w:t>
      </w:r>
      <w:r>
        <w:rPr>
          <w:b/>
          <w:bCs/>
        </w:rPr>
        <w:t xml:space="preserve">opposite directions</w:t>
      </w:r>
      <w:r>
        <w:t xml:space="preserve">:</w:t>
      </w:r>
    </w:p>
    <w:p>
      <w:pPr>
        <w:pStyle w:val="CaptionedFigure"/>
      </w:pPr>
      <w:r>
        <w:drawing>
          <wp:inline>
            <wp:extent cx="4005072" cy="2206752"/>
            <wp:effectExtent b="0" l="0" r="0" t="0"/>
            <wp:docPr descr="Two vectors of equal length pointing in opposite directions, labeled action force A on B and reaction force B on A." title="" id="12" name="Picture"/>
            <a:graphic>
              <a:graphicData uri="http://schemas.openxmlformats.org/drawingml/2006/picture">
                <pic:pic>
                  <pic:nvPicPr>
                    <pic:cNvPr descr="figures/equal_opposite_vector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72" cy="2206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vectors of equal length pointing in opposite directions, labeled action force A on B and reaction force B on A.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swimmer pushes backward on the water with a force of 200 N and glides forward. Identify the action–reaction pair and explain why the swimmer moves forward.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swimmer pushes the water __________ with 200 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Reaction:</w:t>
      </w:r>
      <w:r>
        <w:t xml:space="preserve"> </w:t>
      </w:r>
      <w:r>
        <w:t xml:space="preserve">the water pushes the swimmer __________ with __________ N (equal and opposite).</w:t>
      </w:r>
      <w:r>
        <w:t xml:space="preserve"> </w:t>
      </w:r>
      <w:r>
        <w:t xml:space="preserve">3. The two forces act on __________ different objects — the water and the swimmer.</w:t>
      </w:r>
      <w:r>
        <w:t xml:space="preserve"> </w:t>
      </w:r>
      <w:r>
        <w:t xml:space="preserve">4. The forward push acts on the __________, so the swimmer accelerates forward. The forces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cancel because they are on __________ objects.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When the swimmer pushes the water backward, the water pushes the swimmer forward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2026-06-01T19:49:53Z</dcterms:created>
  <dcterms:modified xsi:type="dcterms:W3CDTF">2026-06-01T19:49:53Z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