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models-of-the-atom-teacher-guide"/>
    <w:p>
      <w:pPr>
        <w:pStyle w:val="Heading1"/>
      </w:pPr>
      <w:r>
        <w:t xml:space="preserve">Models of the Atom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Modern Physics — Lesson 02: Models of the Atom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ACTIVE LEARNING</w:t>
      </w:r>
    </w:p>
    <w:p>
      <w:r>
        <w:pict>
          <v:rect style="width:0;height:1.5pt" o:hralign="center" o:hrstd="t" o:hr="t"/>
        </w:pict>
      </w:r>
    </w:p>
    <w:bookmarkEnd w:id="9"/>
    <w:bookmarkStart w:id="16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t xml:space="preserve">This is a model-building lesson anchored to the Science and Engineering Practice</w:t>
      </w:r>
      <w:r>
        <w:t xml:space="preserve"> </w:t>
      </w:r>
      <w:r>
        <w:rPr>
          <w:b/>
          <w:bCs/>
        </w:rPr>
        <w:t xml:space="preserve">Developing and Using Models</w:t>
      </w:r>
      <w:r>
        <w:t xml:space="preserve">. Students see that a scientific model is revised when new evidence appears — the central habit of mind behind every Modern Physics standard. It builds the atomic structure that the spectra lesson (HS-ESS1-2 connection) and the nuclear-change lesson (HS-PS1-8) depend on.</w:t>
      </w:r>
    </w:p>
    <w:bookmarkEnd w:id="10"/>
    <w:bookmarkStart w:id="12" w:name="phenomenon"/>
    <w:p>
      <w:pPr>
        <w:pStyle w:val="Heading3"/>
      </w:pPr>
      <w:r>
        <w:t xml:space="preserve">Phenomenon</w:t>
      </w:r>
    </w:p>
    <w:p>
      <w:pPr>
        <w:pStyle w:val="Compact"/>
        <w:numPr>
          <w:ilvl w:val="0"/>
          <w:numId w:val="1001"/>
        </w:numPr>
      </w:pPr>
      <w:r>
        <w:t xml:space="preserve">Rutherford’s gold-foil scattering: most alpha particles pass straight through a thin gold foil, but a tiny fraction bounce sharply backward:</w:t>
      </w:r>
      <w:r>
        <w:t xml:space="preserve"> </w:t>
      </w:r>
      <w:hyperlink r:id="rId11">
        <w:r>
          <w:rPr>
            <w:rStyle w:val="Hyperlink"/>
          </w:rPr>
          <w:t xml:space="preserve">https://www.youtube.com/watch?v=XBqHkraf8iE</w:t>
        </w:r>
      </w:hyperlink>
    </w:p>
    <w:p>
      <w:pPr>
        <w:pStyle w:val="Compact"/>
        <w:numPr>
          <w:ilvl w:val="0"/>
          <w:numId w:val="1001"/>
        </w:numPr>
      </w:pPr>
      <w:r>
        <w:t xml:space="preserve">Rutherford’s own line:</w:t>
      </w:r>
      <w:r>
        <w:t xml:space="preserve"> </w:t>
      </w:r>
      <w:r>
        <w:t xml:space="preserve">“as if you fired a 15-inch shell at a piece of tissue paper and it came back and hit you.”</w:t>
      </w:r>
    </w:p>
    <w:bookmarkEnd w:id="12"/>
    <w:bookmarkStart w:id="14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2"/>
        </w:numPr>
      </w:pPr>
      <w:r>
        <w:t xml:space="preserve">Rutherford scattering (interactive):</w:t>
      </w:r>
      <w:r>
        <w:t xml:space="preserve"> </w:t>
      </w:r>
      <w:hyperlink r:id="rId13">
        <w:r>
          <w:rPr>
            <w:rStyle w:val="Hyperlink"/>
          </w:rPr>
          <w:t xml:space="preserve">https://javalab.org/en/rutherford_scattering_en/</w:t>
        </w:r>
      </w:hyperlink>
    </w:p>
    <w:bookmarkEnd w:id="14"/>
    <w:bookmarkStart w:id="15" w:name="assessments"/>
    <w:p>
      <w:pPr>
        <w:pStyle w:val="Heading3"/>
      </w:pPr>
      <w:r>
        <w:t xml:space="preserve">Assessments</w:t>
      </w:r>
    </w:p>
    <w:p>
      <w:pPr>
        <w:pStyle w:val="Compact"/>
        <w:numPr>
          <w:ilvl w:val="0"/>
          <w:numId w:val="1003"/>
        </w:numPr>
      </w:pPr>
      <w:r>
        <w:t xml:space="preserve">Exit ticket below (match a model to the evidence that overturned it). The gold-foil claim-evidence card sort in Phase 2 is the formative check.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SEP: Developing and Using Models (supports HS-PS1-8 and HS-ESS1-2 later in the unit)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Patterns / Stability and Change — a model holds until new evidence forces a change.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ACTIVE LEARNING (claim–evidence card sort + model-revision gallery)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Pre-cut model/evidence card sets (one per group); chart paper or whiteboards; markers; the model-progression handout.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None — simulation and paper-based.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Atoms contain protons, neutrons, electrons (from earlier science); charge basics (+/−).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4"/>
        </w:numPr>
      </w:pPr>
      <w:r>
        <w:t xml:space="preserve">Sequence the atomic models (Dalton → Thomson → Rutherford → Bohr → quantum) and state what each got right.</w:t>
      </w:r>
    </w:p>
    <w:p>
      <w:pPr>
        <w:pStyle w:val="Compact"/>
        <w:numPr>
          <w:ilvl w:val="0"/>
          <w:numId w:val="1004"/>
        </w:numPr>
      </w:pPr>
      <w:r>
        <w:t xml:space="preserve">Explain how the gold-foil experiment provided evidence for a small, dense</w:t>
      </w:r>
      <w:r>
        <w:t xml:space="preserve"> </w:t>
      </w:r>
      <w:r>
        <w:rPr>
          <w:b/>
          <w:bCs/>
        </w:rPr>
        <w:t xml:space="preserve">nucleus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Argue, using evidence, why a scientific model changes over time.</w:t>
      </w:r>
    </w:p>
    <w:p>
      <w:r>
        <w:pict>
          <v:rect style="width:0;height:1.5pt" o:hralign="center" o:hrstd="t" o:hr="t"/>
        </w:pict>
      </w:r>
    </w:p>
    <w:bookmarkEnd w:id="17"/>
    <w:bookmarkStart w:id="22" w:name="phase-1-engage-0-10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10 min)</w:t>
      </w:r>
    </w:p>
    <w:bookmarkStart w:id="18" w:name="min-opening-connection-sel"/>
    <w:p>
      <w:pPr>
        <w:pStyle w:val="Heading3"/>
      </w:pPr>
      <w:r>
        <w:t xml:space="preserve">0–2 min · Opening Connection (SEL)</w:t>
      </w:r>
    </w:p>
    <w:p>
      <w:pPr>
        <w:pStyle w:val="FirstParagraph"/>
      </w:pPr>
      <w:r>
        <w:t xml:space="preserve">Whip-around (one sentence, pass allowed):</w:t>
      </w:r>
      <w:r>
        <w:t xml:space="preserve"> </w:t>
      </w:r>
      <w:r>
        <w:rPr>
          <w:i/>
          <w:iCs/>
        </w:rPr>
        <w:t xml:space="preserve">“Tell me about a time you changed your mind because you got new information.”</w:t>
      </w:r>
      <w:r>
        <w:t xml:space="preserve"> </w:t>
      </w:r>
      <w:r>
        <w:t xml:space="preserve">Park responses — you’ll connect them to</w:t>
      </w:r>
      <w:r>
        <w:t xml:space="preserve"> </w:t>
      </w:r>
      <w:r>
        <w:t xml:space="preserve">“scientists change models with new evidence.”</w:t>
      </w:r>
    </w:p>
    <w:bookmarkEnd w:id="18"/>
    <w:bookmarkStart w:id="19" w:name="X3313a603cc333f70a7bf0aa4e0f37300b4dcb60"/>
    <w:p>
      <w:pPr>
        <w:pStyle w:val="Heading3"/>
      </w:pPr>
      <w:r>
        <w:t xml:space="preserve">2–7 min · Phenomenon hook — the gold-foil surprise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Play the gold-foil clip (or run the Javalab sim). Set up the expectation first: scientists thought the atom was a soft</w:t>
      </w:r>
      <w:r>
        <w:t xml:space="preserve"> </w:t>
      </w:r>
      <w:r>
        <w:t xml:space="preserve">“pudding”</w:t>
      </w:r>
      <w:r>
        <w:t xml:space="preserve"> </w:t>
      </w:r>
      <w:r>
        <w:t xml:space="preserve">of positive charge. Show alphas firing at the foil; most pass through, a rare few rebound.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“They expected every bullet to sail straight through soft pudding. Instead, one in thousands bounced</w:t>
      </w:r>
      <w:r>
        <w:t xml:space="preserve"> </w:t>
      </w:r>
      <w:r>
        <w:rPr>
          <w:i/>
          <w:iCs/>
        </w:rPr>
        <w:t xml:space="preserve">straight back</w:t>
      </w:r>
      <w:r>
        <w:t xml:space="preserve">. Rutherford said it was like firing a cannon shell at tissue paper and having it come back at you. What inside the atom could do that?”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5"/>
        </w:numPr>
      </w:pPr>
      <w:r>
        <w:t xml:space="preserve">“There’s something hard in the middle.”</w:t>
      </w:r>
      <w:r>
        <w:t xml:space="preserve"> </w:t>
      </w:r>
      <w:r>
        <w:t xml:space="preserve">— gold; capture</w:t>
      </w:r>
      <w:r>
        <w:t xml:space="preserve"> </w:t>
      </w:r>
      <w:r>
        <w:rPr>
          <w:i/>
          <w:iCs/>
        </w:rPr>
        <w:t xml:space="preserve">small + hard + central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“The whole atom is solid.”</w:t>
      </w:r>
      <w:r>
        <w:t xml:space="preserve"> </w:t>
      </w:r>
      <w:r>
        <w:t xml:space="preserve">— counter with:</w:t>
      </w:r>
      <w:r>
        <w:t xml:space="preserve"> </w:t>
      </w:r>
      <w:r>
        <w:t xml:space="preserve">“Then why do most pass straight through?”</w:t>
      </w:r>
    </w:p>
    <w:p>
      <w:pPr>
        <w:pStyle w:val="Compact"/>
        <w:numPr>
          <w:ilvl w:val="0"/>
          <w:numId w:val="1005"/>
        </w:numPr>
      </w:pPr>
      <w:r>
        <w:t xml:space="preserve">“It’s charged and pushed them back.”</w:t>
      </w:r>
      <w:r>
        <w:t xml:space="preserve"> </w:t>
      </w:r>
      <w:r>
        <w:t xml:space="preserve">— capture; the dense center is positive.</w:t>
      </w:r>
    </w:p>
    <w:bookmarkEnd w:id="19"/>
    <w:bookmarkStart w:id="20" w:name="min-notice-wonder-turn-and-talk-1"/>
    <w:p>
      <w:pPr>
        <w:pStyle w:val="Heading3"/>
      </w:pPr>
      <w:r>
        <w:t xml:space="preserve">7–10 min · Notice &amp; Wonder + Turn-and-Talk #1</w:t>
      </w:r>
    </w:p>
    <w:p>
      <w:pPr>
        <w:pStyle w:val="BlockText"/>
      </w:pPr>
      <w:r>
        <w:t xml:space="preserve">“Turn and talk: if MOST pass through but a FEW bounce hard, what must the inside of the atom look like — solid, empty, or something in between?”</w:t>
      </w:r>
    </w:p>
    <w:p>
      <w:pPr>
        <w:pStyle w:val="FirstParagraph"/>
      </w:pPr>
      <w:r>
        <w:t xml:space="preserve">Target seed: mostly empty space with a tiny, dense, charged center.</w:t>
      </w:r>
    </w:p>
    <w:bookmarkEnd w:id="20"/>
    <w:bookmarkStart w:id="21" w:name="bridge-to-phase-2"/>
    <w:p>
      <w:pPr>
        <w:pStyle w:val="Heading3"/>
      </w:pPr>
      <w:r>
        <w:t xml:space="preserve">Bridge to Phase 2</w:t>
      </w:r>
    </w:p>
    <w:p>
      <w:pPr>
        <w:pStyle w:val="FirstParagraph"/>
      </w:pPr>
      <w:r>
        <w:t xml:space="preserve">Each student writes a one-sentence</w:t>
      </w:r>
      <w:r>
        <w:t xml:space="preserve"> </w:t>
      </w:r>
      <w:r>
        <w:rPr>
          <w:b/>
          <w:bCs/>
        </w:rPr>
        <w:t xml:space="preserve">initial model</w:t>
      </w:r>
      <w:r>
        <w:t xml:space="preserve">:</w:t>
      </w:r>
      <w:r>
        <w:t xml:space="preserve"> </w:t>
      </w:r>
      <w:r>
        <w:t xml:space="preserve">“The atom’s inside must be ______ because ______.”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2" w:name="phase-2-explore-10-30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(10 – 30 min)</w:t>
      </w:r>
    </w:p>
    <w:bookmarkStart w:id="23" w:name="min-initial-model-silent-individual"/>
    <w:p>
      <w:pPr>
        <w:pStyle w:val="Heading3"/>
      </w:pPr>
      <w:r>
        <w:t xml:space="preserve">10–14 min · Initial Model (silent / individual)</w:t>
      </w:r>
    </w:p>
    <w:p>
      <w:pPr>
        <w:pStyle w:val="FirstParagraph"/>
      </w:pPr>
      <w:r>
        <w:t xml:space="preserve">Prompt:</w:t>
      </w:r>
    </w:p>
    <w:p>
      <w:pPr>
        <w:pStyle w:val="BlockText"/>
      </w:pPr>
      <w:r>
        <w:rPr>
          <w:i/>
          <w:iCs/>
        </w:rPr>
        <w:t xml:space="preserve">“Draw what you think the inside of a gold atom looks like, based on the scattering result. Mark where the</w:t>
      </w:r>
      <w:r>
        <w:rPr>
          <w:i/>
          <w:iCs/>
        </w:rPr>
        <w:t xml:space="preserve"> </w:t>
      </w:r>
      <w:r>
        <w:rPr>
          <w:i/>
          <w:iCs/>
        </w:rPr>
        <w:t xml:space="preserve">‘hard’</w:t>
      </w:r>
      <w:r>
        <w:rPr>
          <w:i/>
          <w:iCs/>
        </w:rPr>
        <w:t xml:space="preserve"> </w:t>
      </w:r>
      <w:r>
        <w:rPr>
          <w:i/>
          <w:iCs/>
        </w:rPr>
        <w:t xml:space="preserve">part is and how much is empty.”</w:t>
      </w:r>
    </w:p>
    <w:bookmarkEnd w:id="23"/>
    <w:bookmarkStart w:id="30" w:name="Xb0fb6fbfc7ee5f7acc7862dcaec5b0b16cdf5fd"/>
    <w:p>
      <w:pPr>
        <w:pStyle w:val="Heading3"/>
      </w:pPr>
      <w:r>
        <w:t xml:space="preserve">14–30 min · Investigation — model/evidence card sort (ACTIVE LEARNING)</w:t>
      </w:r>
    </w:p>
    <w:p>
      <w:pPr>
        <w:pStyle w:val="FirstParagraph"/>
      </w:pPr>
      <w:r>
        <w:t xml:space="preserve">Groups of 3–4 receive shuffled cards: five</w:t>
      </w:r>
      <w:r>
        <w:t xml:space="preserve"> </w:t>
      </w:r>
      <w:r>
        <w:rPr>
          <w:b/>
          <w:bCs/>
        </w:rPr>
        <w:t xml:space="preserve">model cards</w:t>
      </w:r>
      <w:r>
        <w:t xml:space="preserve"> </w:t>
      </w:r>
      <w:r>
        <w:t xml:space="preserve">(Dalton solid sphere, Thomson plum pudding, Rutherford nucleus, Bohr orbits, quantum cloud) and matching</w:t>
      </w:r>
      <w:r>
        <w:t xml:space="preserve"> </w:t>
      </w:r>
      <w:r>
        <w:rPr>
          <w:b/>
          <w:bCs/>
        </w:rPr>
        <w:t xml:space="preserve">evidence cards</w:t>
      </w:r>
      <w:r>
        <w:t xml:space="preserve"> </w:t>
      </w:r>
      <w:r>
        <w:t xml:space="preserve">(e.g.,</w:t>
      </w:r>
      <w:r>
        <w:t xml:space="preserve"> </w:t>
      </w:r>
      <w:r>
        <w:t xml:space="preserve">“elements combine in fixed ratios,”</w:t>
      </w:r>
      <w:r>
        <w:t xml:space="preserve"> </w:t>
      </w:r>
      <w:r>
        <w:t xml:space="preserve">“rays bend toward + plate → negative particles exist,”</w:t>
      </w:r>
      <w:r>
        <w:t xml:space="preserve"> </w:t>
      </w:r>
      <w:r>
        <w:t xml:space="preserve">“alpha particles bounce back,”</w:t>
      </w:r>
      <w:r>
        <w:t xml:space="preserve"> </w:t>
      </w:r>
      <w:r>
        <w:t xml:space="preserve">“atoms emit only specific colors of light,”</w:t>
      </w:r>
      <w:r>
        <w:t xml:space="preserve"> </w:t>
      </w:r>
      <w:r>
        <w:t xml:space="preserve">“electrons behave as probability clouds”</w:t>
      </w:r>
      <w:r>
        <w:t xml:space="preserve">). Groups:</w:t>
      </w:r>
    </w:p>
    <w:p>
      <w:pPr>
        <w:pStyle w:val="Compact"/>
        <w:numPr>
          <w:ilvl w:val="0"/>
          <w:numId w:val="1006"/>
        </w:numPr>
      </w:pPr>
      <w:r>
        <w:t xml:space="preserve">Order the models oldest → newest.</w:t>
      </w:r>
    </w:p>
    <w:p>
      <w:pPr>
        <w:pStyle w:val="Compact"/>
        <w:numPr>
          <w:ilvl w:val="0"/>
          <w:numId w:val="1006"/>
        </w:numPr>
      </w:pPr>
      <w:r>
        <w:t xml:space="preserve">Match each model to the evidence that</w:t>
      </w:r>
      <w:r>
        <w:t xml:space="preserve"> </w:t>
      </w:r>
      <w:r>
        <w:rPr>
          <w:i/>
          <w:iCs/>
        </w:rPr>
        <w:t xml:space="preserve">supported</w:t>
      </w:r>
      <w:r>
        <w:t xml:space="preserve"> </w:t>
      </w:r>
      <w:r>
        <w:t xml:space="preserve">it and the evidence that</w:t>
      </w:r>
      <w:r>
        <w:t xml:space="preserve"> </w:t>
      </w:r>
      <w:r>
        <w:rPr>
          <w:i/>
          <w:iCs/>
        </w:rPr>
        <w:t xml:space="preserve">broke</w:t>
      </w:r>
      <w:r>
        <w:t xml:space="preserve"> </w:t>
      </w:r>
      <w:r>
        <w:t xml:space="preserve">it.</w:t>
      </w:r>
    </w:p>
    <w:p>
      <w:pPr>
        <w:pStyle w:val="Compact"/>
        <w:numPr>
          <w:ilvl w:val="0"/>
          <w:numId w:val="1006"/>
        </w:numPr>
      </w:pPr>
      <w:r>
        <w:t xml:space="preserve">Build a chart-paper timeline; star the gold-foil card as the turning point for the nucleus.</w:t>
      </w:r>
    </w:p>
    <w:p>
      <w:pPr>
        <w:pStyle w:val="FirstParagraph"/>
      </w:pPr>
      <w:r>
        <w:rPr>
          <w:b/>
          <w:bCs/>
        </w:rPr>
        <w:t xml:space="preserve">Teacher facilitation language:</w:t>
      </w:r>
    </w:p>
    <w:p>
      <w:pPr>
        <w:pStyle w:val="BlockText"/>
      </w:pPr>
      <w:r>
        <w:t xml:space="preserve">“Which evidence card could Dalton’s solid sphere NOT explain?”</w:t>
      </w:r>
      <w:r>
        <w:t xml:space="preserve"> </w:t>
      </w:r>
      <w:r>
        <w:t xml:space="preserve">“What did Thomson get right that Dalton missed — and what did the gold foil reveal that Thomson missed?”</w:t>
      </w:r>
      <w:r>
        <w:t xml:space="preserve"> </w:t>
      </w:r>
      <w:r>
        <w:t xml:space="preserve">“Bohr’s orbits explain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observation that Rutherford’s couldn’t? (Hold that — it’s Lesson 03.)”</w:t>
      </w:r>
    </w:p>
    <w:p>
      <w:pPr>
        <w:pStyle w:val="FirstParagraph"/>
      </w:pPr>
      <w:r>
        <w:t xml:space="preserve">Use the progression figure to anchor the gallery:</w:t>
      </w:r>
    </w:p>
    <w:p>
      <w:pPr>
        <w:pStyle w:val="CaptionedFigure"/>
      </w:pPr>
      <w:r>
        <w:drawing>
          <wp:inline>
            <wp:extent cx="6121400" cy="1596387"/>
            <wp:effectExtent b="0" l="0" r="0" t="0"/>
            <wp:docPr descr="Five-panel progression of atomic models: Dalton solid sphere, Thomson plum pudding, Rutherford nucleus with empty space, Bohr fixed orbits, and the quantum electron cloud." title="" id="25" name="Picture"/>
            <a:graphic>
              <a:graphicData uri="http://schemas.openxmlformats.org/drawingml/2006/picture">
                <pic:pic>
                  <pic:nvPicPr>
                    <pic:cNvPr descr="figures/atomic_model_progression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15963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Five-panel progression of atomic models: Dalton solid sphere, Thomson plum pudding, Rutherford nucleus with empty space, Bohr fixed orbits, and the quantum electron cloud.</w:t>
      </w:r>
    </w:p>
    <w:p>
      <w:pPr>
        <w:pStyle w:val="BodyText"/>
      </w:pPr>
      <w:r>
        <w:t xml:space="preserve">And the scattering diagram for the turning-point card:</w:t>
      </w:r>
    </w:p>
    <w:p>
      <w:pPr>
        <w:pStyle w:val="CaptionedFigure"/>
      </w:pPr>
      <w:r>
        <w:drawing>
          <wp:inline>
            <wp:extent cx="6121400" cy="2739727"/>
            <wp:effectExtent b="0" l="0" r="0" t="0"/>
            <wp:docPr descr="Gold-foil scattering: most alpha particles pass straight through the foil while a few deflect sharply off the tiny dense nucleus." title="" id="28" name="Picture"/>
            <a:graphic>
              <a:graphicData uri="http://schemas.openxmlformats.org/drawingml/2006/picture">
                <pic:pic>
                  <pic:nvPicPr>
                    <pic:cNvPr descr="figures/gold_foil_scattering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739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Gold-foil scattering: most alpha particles pass straight through the foil while a few deflect sharply off the tiny dense nucleus.</w:t>
      </w:r>
    </w:p>
    <w:bookmarkEnd w:id="30"/>
    <w:bookmarkStart w:id="31" w:name="teacher-facilitation-during-explore"/>
    <w:p>
      <w:pPr>
        <w:pStyle w:val="Heading3"/>
      </w:pPr>
      <w:r>
        <w:t xml:space="preserve">Teacher facilitation during Explore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look for</w:t>
      </w:r>
      <w:r>
        <w:t xml:space="preserve"> </w:t>
      </w:r>
      <w:r>
        <w:t xml:space="preserve">— groups tying each</w:t>
      </w:r>
      <w:r>
        <w:t xml:space="preserve"> </w:t>
      </w:r>
      <w:r>
        <w:rPr>
          <w:i/>
          <w:iCs/>
        </w:rPr>
        <w:t xml:space="preserve">change</w:t>
      </w:r>
      <w:r>
        <w:t xml:space="preserve"> </w:t>
      </w:r>
      <w:r>
        <w:t xml:space="preserve">to a specific</w:t>
      </w:r>
      <w:r>
        <w:t xml:space="preserve"> </w:t>
      </w:r>
      <w:r>
        <w:rPr>
          <w:i/>
          <w:iCs/>
        </w:rPr>
        <w:t xml:space="preserve">new observation</w:t>
      </w:r>
      <w:r>
        <w:t xml:space="preserve">, not just memorizing an order.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resist</w:t>
      </w:r>
      <w:r>
        <w:t xml:space="preserve"> </w:t>
      </w:r>
      <w:r>
        <w:t xml:space="preserve">— don’t pre-label which evidence breaks which model; let the sort do the reasoning.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redirect</w:t>
      </w:r>
      <w:r>
        <w:t xml:space="preserve"> </w:t>
      </w:r>
      <w:r>
        <w:t xml:space="preserve">—</w:t>
      </w:r>
      <w:r>
        <w:t xml:space="preserve"> </w:t>
      </w:r>
      <w:r>
        <w:t xml:space="preserve">“the newest model is the only right one”</w:t>
      </w:r>
      <w:r>
        <w:t xml:space="preserve"> </w:t>
      </w:r>
      <w:r>
        <w:t xml:space="preserve">→ every model was the best fit for</w:t>
      </w:r>
      <w:r>
        <w:t xml:space="preserve"> </w:t>
      </w:r>
      <w:r>
        <w:rPr>
          <w:i/>
          <w:iCs/>
        </w:rPr>
        <w:t xml:space="preserve">its</w:t>
      </w:r>
      <w:r>
        <w:t xml:space="preserve"> </w:t>
      </w:r>
      <w:r>
        <w:t xml:space="preserve">evidence.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phase-3-explain-30-36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(30 – 36 min)</w:t>
      </w:r>
    </w:p>
    <w:bookmarkStart w:id="33" w:name="min-gallery-walk-class-consensus"/>
    <w:p>
      <w:pPr>
        <w:pStyle w:val="Heading3"/>
      </w:pPr>
      <w:r>
        <w:t xml:space="preserve">30–33 min · Gallery walk + class consensus</w:t>
      </w:r>
    </w:p>
    <w:p>
      <w:pPr>
        <w:pStyle w:val="FirstParagraph"/>
      </w:pPr>
      <w:r>
        <w:t xml:space="preserve">Groups post timelines; one quick gallery walk. Then build consensus:</w:t>
      </w:r>
    </w:p>
    <w:p>
      <w:pPr>
        <w:pStyle w:val="BlockText"/>
      </w:pPr>
      <w:r>
        <w:t xml:space="preserve">“Across all five, what always triggered a new model? New, surprising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old model couldn’t explain.”</w:t>
      </w:r>
    </w:p>
    <w:bookmarkEnd w:id="33"/>
    <w:bookmarkStart w:id="34" w:name="min-vocabulary-introduction-3-terms"/>
    <w:p>
      <w:pPr>
        <w:pStyle w:val="Heading3"/>
      </w:pPr>
      <w:r>
        <w:t xml:space="preserve">33–36 min · Vocabulary introduction (≤ 3 terms)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“The tiny, dense, positively charged center the gold foil revealed is the</w:t>
      </w:r>
      <w:r>
        <w:t xml:space="preserve"> </w:t>
      </w:r>
      <w:r>
        <w:rPr>
          <w:b/>
          <w:bCs/>
        </w:rPr>
        <w:t xml:space="preserve">nucleus</w:t>
      </w:r>
      <w:r>
        <w:t xml:space="preserve">. The light, negatively charged particles around it are</w:t>
      </w:r>
      <w:r>
        <w:t xml:space="preserve"> </w:t>
      </w:r>
      <w:r>
        <w:rPr>
          <w:b/>
          <w:bCs/>
        </w:rPr>
        <w:t xml:space="preserve">electrons</w:t>
      </w:r>
      <w:r>
        <w:t xml:space="preserve">. A picture scientists use to represent the atom’s structure is an</w:t>
      </w:r>
      <w:r>
        <w:t xml:space="preserve"> </w:t>
      </w:r>
      <w:r>
        <w:rPr>
          <w:b/>
          <w:bCs/>
        </w:rPr>
        <w:t xml:space="preserve">atomic model</w:t>
      </w:r>
      <w:r>
        <w:t xml:space="preserve"> </w:t>
      </w:r>
      <w:r>
        <w:t xml:space="preserve">— and that model has changed every time new evidence arrived.”</w:t>
      </w:r>
    </w:p>
    <w:bookmarkEnd w:id="34"/>
    <w:bookmarkStart w:id="35" w:name="discussion-prompts-to-deploy-here"/>
    <w:p>
      <w:pPr>
        <w:pStyle w:val="Heading3"/>
      </w:pPr>
      <w:r>
        <w:t xml:space="preserve">Discussion prompts to deploy here</w:t>
      </w:r>
    </w:p>
    <w:p>
      <w:pPr>
        <w:pStyle w:val="Compact"/>
        <w:numPr>
          <w:ilvl w:val="0"/>
          <w:numId w:val="1008"/>
        </w:numPr>
      </w:pPr>
      <w:r>
        <w:t xml:space="preserve">“Why didn’t Thomson’s plum-pudding model survive the gold-foil result?”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“Soft, spread-out positive charge couldn’t bounce an alpha straight back; only a tiny dense nucleus could.”</w:t>
      </w:r>
    </w:p>
    <w:p>
      <w:pPr>
        <w:pStyle w:val="Compact"/>
        <w:numPr>
          <w:ilvl w:val="0"/>
          <w:numId w:val="1008"/>
        </w:numPr>
      </w:pPr>
      <w:r>
        <w:t xml:space="preserve">“Is the quantum model</w:t>
      </w:r>
      <w:r>
        <w:t xml:space="preserve"> </w:t>
      </w:r>
      <w:r>
        <w:t xml:space="preserve">‘the truth’</w:t>
      </w:r>
      <w:r>
        <w:t xml:space="preserve"> </w:t>
      </w:r>
      <w:r>
        <w:t xml:space="preserve">or just the current best model?”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“The current best model — it fits today’s evidence, and it could be revised again.”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phase-4-elaborate-36-39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(36 – 39 min)</w:t>
      </w:r>
    </w:p>
    <w:bookmarkStart w:id="37" w:name="min-revise-the-model"/>
    <w:p>
      <w:pPr>
        <w:pStyle w:val="Heading3"/>
      </w:pPr>
      <w:r>
        <w:t xml:space="preserve">36–38 min · Revise the model</w:t>
      </w:r>
    </w:p>
    <w:p>
      <w:pPr>
        <w:pStyle w:val="BlockText"/>
      </w:pPr>
      <w:r>
        <w:rPr>
          <w:i/>
          <w:iCs/>
        </w:rPr>
        <w:t xml:space="preserve">“Return to your Initial Model. Redraw the gold atom using the words nucleus and electron, showing the right proportions (tiny dense center, lots of empty space).”</w:t>
      </w:r>
    </w:p>
    <w:bookmarkEnd w:id="37"/>
    <w:bookmarkStart w:id="38" w:name="min-return-to-the-phenomenon"/>
    <w:p>
      <w:pPr>
        <w:pStyle w:val="Heading3"/>
      </w:pPr>
      <w:r>
        <w:t xml:space="preserve">38–39 min · Return to the phenomenon</w:t>
      </w:r>
    </w:p>
    <w:p>
      <w:pPr>
        <w:pStyle w:val="BlockText"/>
      </w:pPr>
      <w:r>
        <w:t xml:space="preserve">“In one sentence, explain the gold-foil result using</w:t>
      </w:r>
      <w:r>
        <w:t xml:space="preserve"> </w:t>
      </w:r>
      <w:r>
        <w:rPr>
          <w:i/>
          <w:iCs/>
        </w:rPr>
        <w:t xml:space="preserve">nucleus</w:t>
      </w:r>
      <w:r>
        <w:t xml:space="preserve">.”</w:t>
      </w:r>
    </w:p>
    <w:p>
      <w:pPr>
        <w:pStyle w:val="FirstParagraph"/>
      </w:pPr>
      <w:r>
        <w:t xml:space="preserve">Target:</w:t>
      </w:r>
      <w:r>
        <w:t xml:space="preserve"> </w:t>
      </w:r>
      <w:r>
        <w:t xml:space="preserve">“Most alphas pass through the empty space, but the few that hit the tiny dense</w:t>
      </w:r>
      <w:r>
        <w:t xml:space="preserve"> </w:t>
      </w:r>
      <w:r>
        <w:rPr>
          <w:b/>
          <w:bCs/>
        </w:rPr>
        <w:t xml:space="preserve">nucleus</w:t>
      </w:r>
      <w:r>
        <w:t xml:space="preserve"> </w:t>
      </w:r>
      <w:r>
        <w:t xml:space="preserve">are pushed sharply back.”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phase-5-evaluate-39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(39 – 42 min)</w:t>
      </w:r>
    </w:p>
    <w:bookmarkStart w:id="40" w:name="min-exit-ticket-closing-reflection"/>
    <w:p>
      <w:pPr>
        <w:pStyle w:val="Heading3"/>
      </w:pPr>
      <w:r>
        <w:t xml:space="preserve">39–42 min · Exit Ticket + Closing Reflection</w:t>
      </w:r>
    </w:p>
    <w:p>
      <w:pPr>
        <w:pStyle w:val="BlockText"/>
      </w:pPr>
      <w:r>
        <w:rPr>
          <w:i/>
          <w:iCs/>
        </w:rPr>
        <w:t xml:space="preserve">“(a) Which atomic model first included a tiny, dense nucleus, and what experiment supported it?</w:t>
      </w:r>
      <w:r>
        <w:rPr>
          <w:i/>
          <w:iCs/>
        </w:rPr>
        <w:t xml:space="preserve"> </w:t>
      </w:r>
      <w:r>
        <w:rPr>
          <w:i/>
          <w:iCs/>
        </w:rPr>
        <w:t xml:space="preserve">(b) Name one thing the Thomson (plum-pudding) model got right.</w:t>
      </w:r>
      <w:r>
        <w:rPr>
          <w:i/>
          <w:iCs/>
        </w:rPr>
        <w:t xml:space="preserve"> </w:t>
      </w:r>
      <w:r>
        <w:rPr>
          <w:i/>
          <w:iCs/>
        </w:rPr>
        <w:t xml:space="preserve">(c) Why do scientists change a model like the atom over time?”</w:t>
      </w:r>
    </w:p>
    <w:p>
      <w:pPr>
        <w:pStyle w:val="FirstParagraph"/>
      </w:pPr>
      <w:r>
        <w:t xml:space="preserve">Expected: (a) Rutherford’s model; the gold-foil scattering experiment; (b) atoms contain negative electrons (and a positive part); (c) new evidence appears that the old model cannot explain. See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Closing Reflection (SEL, 30 seconds):</w:t>
      </w:r>
    </w:p>
    <w:p>
      <w:pPr>
        <w:pStyle w:val="BlockText"/>
      </w:pPr>
      <w:r>
        <w:t xml:space="preserve">“Whose idea in your group helped you make sense of the timeline today?”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“The newest model proves the old ones were wrong/stupid.”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Each model was the best explanation for the evidence available; models improve, they don’t shame their predecessors.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“The atom is mostly solid matter.”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An atom is overwhelmingly empty space; the nucleus is tiny but holds nearly all the mass.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“Electrons orbit the nucleus on neat circular tracks.”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That’s the Bohr picture; the current quantum model describes electrons as probability clouds, not fixed paths.</w:t>
      </w:r>
    </w:p>
    <w:p>
      <w:r>
        <w:pict>
          <v:rect style="width:0;height:1.5pt" o:hralign="center" o:hrstd="t" o:hr="t"/>
        </w:pict>
      </w:r>
    </w:p>
    <w:bookmarkEnd w:id="42"/>
    <w:bookmarkStart w:id="43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Sentence frame: *“The ___ model changed to the ___ model because of evidence from ___.”* Word box: {Thomson, Rutherford, gold foil, nucleus, electron}. Provide the model cards with both a picture and a one-word label.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Pre-sort the card set into the correct order for some groups; their task becomes matching evidence to a given sequence. Provide a fill-in timeline rather than blank chart paper.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Have students research and add a sixth card — a modern refinement (e.g., isotopes, the discovery of the neutron) — and justify where it fits and what evidence supports it.</w:t>
      </w:r>
    </w:p>
    <w:p>
      <w:r>
        <w:pict>
          <v:rect style="width:0;height:1.5pt" o:hralign="center" o:hrstd="t" o:hr="t"/>
        </w:pict>
      </w:r>
    </w:p>
    <w:bookmarkEnd w:id="43"/>
    <w:bookmarkStart w:id="44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ACTIVE LEARNING.</w:t>
      </w:r>
      <w:r>
        <w:t xml:space="preserve"> </w:t>
      </w:r>
      <w:r>
        <w:t xml:space="preserve">The card sort makes students</w:t>
      </w:r>
      <w:r>
        <w:t xml:space="preserve"> </w:t>
      </w:r>
      <w:r>
        <w:rPr>
          <w:i/>
          <w:iCs/>
        </w:rPr>
        <w:t xml:space="preserve">do</w:t>
      </w:r>
      <w:r>
        <w:t xml:space="preserve"> </w:t>
      </w:r>
      <w:r>
        <w:t xml:space="preserve">the historical reasoning rather than receive a timeline. Cognitive load stays on the model–evidence relationship. Keep groups to 3–4, rotate a</w:t>
      </w:r>
      <w:r>
        <w:t xml:space="preserve"> </w:t>
      </w:r>
      <w:r>
        <w:t xml:space="preserve">“challenger”</w:t>
      </w:r>
      <w:r>
        <w:t xml:space="preserve"> </w:t>
      </w:r>
      <w:r>
        <w:t xml:space="preserve">role whose job is to ask</w:t>
      </w:r>
      <w:r>
        <w:t xml:space="preserve"> </w:t>
      </w:r>
      <w:r>
        <w:t xml:space="preserve">“what evidence breaks this model?”</w:t>
      </w:r>
      <w:r>
        <w:t xml:space="preserve">, and end with a brief gallery walk so every group sees an alternative arrangement before consensus. This positions the gold-foil result as the turning point students</w:t>
      </w:r>
      <w:r>
        <w:t xml:space="preserve"> </w:t>
      </w:r>
      <w:r>
        <w:rPr>
          <w:i/>
          <w:iCs/>
        </w:rPr>
        <w:t xml:space="preserve">argue toward</w:t>
      </w:r>
      <w:r>
        <w:t xml:space="preserve">, not one you announce.</w:t>
      </w:r>
    </w:p>
    <w:p>
      <w:r>
        <w:pict>
          <v:rect style="width:0;height:1.5pt" o:hralign="center" o:hrstd="t" o:hr="t"/>
        </w:pict>
      </w:r>
    </w:p>
    <w:bookmarkEnd w:id="44"/>
    <w:bookmarkStart w:id="45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gold-foil</w:t>
            </w:r>
            <w:r>
              <w:t xml:space="preserve"> </w:t>
            </w:r>
            <w:r>
              <w:t xml:space="preserve">“cannon shell off tissue paper”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1 (TT#1 — what’s inside the atom), Phase 3 (gallery-walk consensus discussion)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1 (initial model), Phase 2 (card sort + timeline), Phase 4 (revise model)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Patterns / Stability and Change</w:t>
            </w:r>
            <w:r>
              <w:t xml:space="preserve">, restated in Phase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vocabulary at 33–36 min (nucleus / electron / atomic model)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re-explain gold foil using</w:t>
            </w:r>
            <w:r>
              <w:t xml:space="preserve"> </w:t>
            </w:r>
            <w:r>
              <w:rPr>
                <w:i/>
                <w:iCs/>
              </w:rPr>
              <w:t xml:space="preserve">nucleus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Exit Ticket (model ↔ evidence)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Student_Worksheet.docx</w:t>
      </w:r>
      <w:r>
        <w:t xml:space="preserve"> </w:t>
      </w:r>
      <w:r>
        <w:t xml:space="preserve">— the 5E student investigation with the card-sort timeline (hand out at start of Phase 2)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Student_Notes.docx</w:t>
      </w:r>
      <w:r>
        <w:t xml:space="preserve"> </w:t>
      </w:r>
      <w:r>
        <w:t xml:space="preserve">— guided note-guide for the model progression and vocabulary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r>
        <w:pict>
          <v:rect style="width:0;height:1.5pt" o:hralign="center" o:hrstd="t" o:hr="t"/>
        </w:pict>
      </w:r>
    </w:p>
    <w:bookmarkEnd w:id="46"/>
    <w:bookmarkStart w:id="47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nucleus</w:t>
      </w:r>
      <w:r>
        <w:t xml:space="preserve"> </w:t>
      </w:r>
      <w:r>
        <w:t xml:space="preserve">— the tiny, dense, positively charged center of an atom; it holds nearly all the atom’s mass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electron</w:t>
      </w:r>
      <w:r>
        <w:t xml:space="preserve"> </w:t>
      </w:r>
      <w:r>
        <w:t xml:space="preserve">— a light, negatively charged particle found in the space around the nucleus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atomic model</w:t>
      </w:r>
      <w:r>
        <w:t xml:space="preserve"> </w:t>
      </w:r>
      <w:r>
        <w:t xml:space="preserve">— a scientific picture or representation of the atom’s structure, revised as new evidence appears</w:t>
      </w:r>
    </w:p>
    <w:bookmarkEnd w:id="47"/>
    <w:bookmarkEnd w:id="48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hyperlink" Id="rId13" Target="https://javalab.org/en/rutherford_scattering_en/" TargetMode="External" /><Relationship Type="http://schemas.openxmlformats.org/officeDocument/2006/relationships/hyperlink" Id="rId11" Target="https://www.youtube.com/watch?v=XBqHkraf8i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javalab.org/en/rutherford_scattering_en/" TargetMode="External" /><Relationship Type="http://schemas.openxmlformats.org/officeDocument/2006/relationships/hyperlink" Id="rId11" Target="https://www.youtube.com/watch?v=XBqHkraf8i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2026-06-01T19:50:17Z</dcterms:created>
  <dcterms:modified xsi:type="dcterms:W3CDTF">2026-06-01T19:50:17Z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