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dimensional-analysis-student-notes"/>
    <w:p>
      <w:pPr>
        <w:pStyle w:val="Heading1"/>
      </w:pPr>
      <w:r>
        <w:t xml:space="preserve">Dimensional Analysis — Student Notes</w:t>
      </w:r>
    </w:p>
    <w:p>
      <w:pPr>
        <w:pStyle w:val="FirstParagraph"/>
      </w:pPr>
      <w:r>
        <w:rPr>
          <w:b/>
          <w:bCs/>
        </w:rPr>
        <w:t xml:space="preserve">Unit: Safety and Measurement — Lesson 04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Set up a factor-label track so that unwanted units cancel diagonally, leaving only the</w:t>
      </w:r>
      <w:r>
        <w:t xml:space="preserve"> </w:t>
      </w:r>
      <w:r>
        <w:rPr>
          <w:b/>
          <w:bCs/>
        </w:rPr>
        <w:t xml:space="preserve">target unit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Convert between metric units (km, m, cm, mm; L, mL; kg, g, mg) using</w:t>
      </w:r>
      <w:r>
        <w:t xml:space="preserve"> </w:t>
      </w:r>
      <w:r>
        <w:rPr>
          <w:b/>
          <w:bCs/>
        </w:rPr>
        <w:t xml:space="preserve">conversion factors</w:t>
      </w:r>
      <w:r>
        <w:t xml:space="preserve"> </w:t>
      </w:r>
      <w:r>
        <w:t xml:space="preserve">written as ratios.</w:t>
      </w:r>
    </w:p>
    <w:p>
      <w:pPr>
        <w:pStyle w:val="Compact"/>
        <w:numPr>
          <w:ilvl w:val="0"/>
          <w:numId w:val="1001"/>
        </w:numPr>
      </w:pPr>
      <w:r>
        <w:t xml:space="preserve">Convert between moles and atoms using Avogadro’s number from the Reference Table.</w:t>
      </w:r>
    </w:p>
    <w:p>
      <w:pPr>
        <w:pStyle w:val="Compact"/>
        <w:numPr>
          <w:ilvl w:val="0"/>
          <w:numId w:val="1001"/>
        </w:numPr>
      </w:pPr>
      <w:r>
        <w:t xml:space="preserve">Explain, using Scale, Proportion, and Quantity, why a</w:t>
      </w:r>
      <w:r>
        <w:t xml:space="preserve"> </w:t>
      </w:r>
      <w:r>
        <w:rPr>
          <w:b/>
          <w:bCs/>
        </w:rPr>
        <w:t xml:space="preserve">conversion factor</w:t>
      </w:r>
      <w:r>
        <w:t xml:space="preserve"> </w:t>
      </w:r>
      <w:r>
        <w:t xml:space="preserve">equals 1 and why</w:t>
      </w:r>
      <w:r>
        <w:t xml:space="preserve"> </w:t>
      </w:r>
      <w:r>
        <w:rPr>
          <w:b/>
          <w:bCs/>
        </w:rPr>
        <w:t xml:space="preserve">dimensional analysis</w:t>
      </w:r>
      <w:r>
        <w:t xml:space="preserve"> </w:t>
      </w:r>
      <w:r>
        <w:t xml:space="preserve">never changes the physical quantity — only the unit used to express it.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conversion factor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dimensional analysis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metric prefix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Scale, Proportion, and Quantity:</w:t>
      </w:r>
      <w:r>
        <w:t xml:space="preserve"> </w:t>
      </w:r>
      <w:r>
        <w:t xml:space="preserve">A conversion factor is a __________ — a ratio equal to exactly __________ — that lets you cross between different scales. Multiplying by a conversion factor never changes the __________ quantity, only the __________ used to express it.</w:t>
      </w:r>
    </w:p>
    <w:p>
      <w:pPr>
        <w:pStyle w:val="BodyText"/>
      </w:pPr>
      <w:r>
        <w:rPr>
          <w:b/>
          <w:bCs/>
        </w:rPr>
        <w:t xml:space="preserve">The factor-label track — how it works:</w:t>
      </w:r>
    </w:p>
    <w:p>
      <w:pPr>
        <w:pStyle w:val="BodyText"/>
      </w:pPr>
      <w:r>
        <w:t xml:space="preserve">Each</w:t>
      </w:r>
      <w:r>
        <w:t xml:space="preserve"> </w:t>
      </w:r>
      <w:r>
        <w:t xml:space="preserve">“car”</w:t>
      </w:r>
      <w:r>
        <w:t xml:space="preserve"> </w:t>
      </w:r>
      <w:r>
        <w:t xml:space="preserve">in the track holds a quantity (number + unit). When a unit appears once in a __________ and once in a __________, the two cancel diagonally — they cross each other out. The unit that has not been canceled is the __________ unit.</w:t>
      </w:r>
    </w:p>
    <w:p>
      <w:pPr>
        <w:pStyle w:val="BodyText"/>
      </w:pPr>
      <w:r>
        <w:rPr>
          <w:b/>
          <w:bCs/>
        </w:rPr>
        <w:t xml:space="preserve">Setting up a conversion factor:</w:t>
      </w:r>
    </w:p>
    <w:p>
      <w:pPr>
        <w:pStyle w:val="BodyText"/>
      </w:pPr>
      <w:r>
        <w:t xml:space="preserve">A conversion factor can be written two ways: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 A (going mol → atoms)</w:t>
            </w:r>
          </w:p>
        </w:tc>
        <w:tc>
          <w:tcPr/>
          <w:p>
            <w:pPr>
              <w:pStyle w:val="Compact"/>
            </w:pPr>
            <w:r>
              <w:t xml:space="preserve">Option B (going atoms → mol)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6.02 × 10²³ atoms / 1 mol</w:t>
            </w:r>
          </w:p>
        </w:tc>
        <w:tc>
          <w:tcPr/>
          <w:p>
            <w:pPr>
              <w:pStyle w:val="Compact"/>
            </w:pPr>
            <w:r>
              <w:t xml:space="preserve">1 mol / 6.02 × 10²³ atoms</w:t>
            </w:r>
          </w:p>
        </w:tc>
      </w:tr>
    </w:tbl>
    <w:p>
      <w:pPr>
        <w:pStyle w:val="BodyText"/>
      </w:pPr>
      <w:r>
        <w:t xml:space="preserve">Choose the orientation that puts the unit you want to __________ in the denominator.</w:t>
      </w:r>
    </w:p>
    <w:p>
      <w:pPr>
        <w:pStyle w:val="BodyText"/>
      </w:pPr>
      <w:r>
        <w:rPr>
          <w:b/>
          <w:bCs/>
        </w:rPr>
        <w:t xml:space="preserve">Avogadro’s number (from the 2025 Reference Table):</w:t>
      </w:r>
    </w:p>
    <w:p>
      <w:pPr>
        <w:pStyle w:val="BodyText"/>
      </w:pPr>
      <w:r>
        <w:t xml:space="preserve">1 mol = 6.02 × 10²³ particles (atoms, molecules, or ions)</w:t>
      </w:r>
    </w:p>
    <w:p>
      <w:pPr>
        <w:pStyle w:val="BodyText"/>
      </w:pPr>
      <w:r>
        <w:rPr>
          <w:b/>
          <w:bCs/>
        </w:rPr>
        <w:t xml:space="preserve">The figure — a mol → atoms track:</w:t>
      </w:r>
    </w:p>
    <w:p>
      <w:pPr>
        <w:pStyle w:val="CaptionedFigure"/>
      </w:pPr>
      <w:r>
        <w:drawing>
          <wp:inline>
            <wp:extent cx="5492496" cy="1914144"/>
            <wp:effectExtent b="0" l="0" r="0" t="0"/>
            <wp:docPr descr="A factor-label railroad-track grid showing the conversion 2.5 mol Cu × (6.02 × 10²³ atoms / 1 mol); the numerator of the first box contains 2.5 mol Cu, the numerator of the second box contains 6.02 × 10²³ atoms, the denominator of the second box contains 1 mol; diagonal slashes show that “mol” in the numerator of the first box cancels with “mol” in the denominator of the second box, leaving atoms as the surviving unit; the result 1.505 × 10²⁴ atoms appears after the equals sign." title="" id="12" name="Picture"/>
            <a:graphic>
              <a:graphicData uri="http://schemas.openxmlformats.org/drawingml/2006/picture">
                <pic:pic>
                  <pic:nvPicPr>
                    <pic:cNvPr descr="figures/atoms_to_moles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496" cy="1914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factor-label railroad-track grid showing the conversion 2.5 mol Cu × (6.02 × 10²³ atoms / 1 mol); the numerator of the first box contains 2.5 mol Cu, the numerator of the second box contains 6.02 × 10²³ atoms, the denominator of the second box contains 1 mol; diagonal slashes show that</w:t>
      </w:r>
      <w:r>
        <w:t xml:space="preserve"> </w:t>
      </w:r>
      <w:r>
        <w:t xml:space="preserve">“mol”</w:t>
      </w:r>
      <w:r>
        <w:t xml:space="preserve"> </w:t>
      </w:r>
      <w:r>
        <w:t xml:space="preserve">in the numerator of the first box cancels with</w:t>
      </w:r>
      <w:r>
        <w:t xml:space="preserve"> </w:t>
      </w:r>
      <w:r>
        <w:t xml:space="preserve">“mol”</w:t>
      </w:r>
      <w:r>
        <w:t xml:space="preserve"> </w:t>
      </w:r>
      <w:r>
        <w:t xml:space="preserve">in the denominator of the second box, leaving atoms as the surviving unit; the result 1.505 × 10²⁴ atoms appears after the equals sign.</w:t>
      </w:r>
    </w:p>
    <w:p>
      <w:pPr>
        <w:pStyle w:val="BodyText"/>
      </w:pPr>
      <w:r>
        <w:t xml:space="preserve">From the figure above, fill in the blanks:</w:t>
      </w:r>
    </w:p>
    <w:p>
      <w:pPr>
        <w:pStyle w:val="Compact"/>
        <w:numPr>
          <w:ilvl w:val="0"/>
          <w:numId w:val="1003"/>
        </w:numPr>
      </w:pPr>
      <w:r>
        <w:t xml:space="preserve">Starting quantity: ___________ mol Cu</w:t>
      </w:r>
    </w:p>
    <w:p>
      <w:pPr>
        <w:pStyle w:val="Compact"/>
        <w:numPr>
          <w:ilvl w:val="0"/>
          <w:numId w:val="1003"/>
        </w:numPr>
      </w:pPr>
      <w:r>
        <w:t xml:space="preserve">Conversion factor: ___________ atoms / ___________ mol</w:t>
      </w:r>
    </w:p>
    <w:p>
      <w:pPr>
        <w:pStyle w:val="Compact"/>
        <w:numPr>
          <w:ilvl w:val="0"/>
          <w:numId w:val="1003"/>
        </w:numPr>
      </w:pPr>
      <w:r>
        <w:t xml:space="preserve">Unit that cancels: ___________</w:t>
      </w:r>
    </w:p>
    <w:p>
      <w:pPr>
        <w:pStyle w:val="Compact"/>
        <w:numPr>
          <w:ilvl w:val="0"/>
          <w:numId w:val="1003"/>
        </w:numPr>
      </w:pPr>
      <w:r>
        <w:t xml:space="preserve">Surviving unit: ___________</w:t>
      </w:r>
    </w:p>
    <w:p>
      <w:pPr>
        <w:pStyle w:val="Compact"/>
        <w:numPr>
          <w:ilvl w:val="0"/>
          <w:numId w:val="1003"/>
        </w:numPr>
      </w:pPr>
      <w:r>
        <w:t xml:space="preserve">Numerical answer: ___________ ___________</w:t>
      </w:r>
    </w:p>
    <w:p>
      <w:pPr>
        <w:pStyle w:val="FirstParagraph"/>
      </w:pPr>
      <w:r>
        <w:rPr>
          <w:b/>
          <w:bCs/>
        </w:rPr>
        <w:t xml:space="preserve">Metric prefix conversion factors: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Prefix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Conversion factor (going → base unit)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kilo- (k)</w:t>
            </w:r>
          </w:p>
        </w:tc>
        <w:tc>
          <w:tcPr/>
          <w:p>
            <w:pPr>
              <w:pStyle w:val="Compact"/>
            </w:pPr>
            <w:r>
              <w:t xml:space="preserve">10³ = 1000</w:t>
            </w:r>
          </w:p>
        </w:tc>
        <w:tc>
          <w:tcPr/>
          <w:p>
            <w:pPr>
              <w:pStyle w:val="Compact"/>
            </w:pPr>
            <w:r>
              <w:t xml:space="preserve">1 km / 1000 m (or 1000 m / 1 km)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centi- (c)</w:t>
            </w:r>
          </w:p>
        </w:tc>
        <w:tc>
          <w:tcPr/>
          <w:p>
            <w:pPr>
              <w:pStyle w:val="Compact"/>
            </w:pPr>
            <w:r>
              <w:t xml:space="preserve">10⁻² = 1/100</w:t>
            </w:r>
          </w:p>
        </w:tc>
        <w:tc>
          <w:tcPr/>
          <w:p>
            <w:pPr>
              <w:pStyle w:val="Compact"/>
            </w:pPr>
            <w:r>
              <w:t xml:space="preserve">1 cm / 0.01 m (or equivalently: 100 cm / 1 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milli- (m)</w:t>
            </w:r>
          </w:p>
        </w:tc>
        <w:tc>
          <w:tcPr/>
          <w:p>
            <w:pPr>
              <w:pStyle w:val="Compact"/>
            </w:pPr>
            <w:r>
              <w:t xml:space="preserve">10⁻³ = 1/1000</w:t>
            </w:r>
          </w:p>
        </w:tc>
        <w:tc>
          <w:tcPr/>
          <w:p>
            <w:pPr>
              <w:pStyle w:val="Compact"/>
            </w:pPr>
            <w:r>
              <w:t xml:space="preserve">1 mL / 0.001 L (or equivalently: 1000 mL / 1 L)</w:t>
            </w:r>
          </w:p>
        </w:tc>
      </w:tr>
    </w:tbl>
    <w:p>
      <w:pPr>
        <w:pStyle w:val="BodyText"/>
      </w:pPr>
      <w:r>
        <w:t xml:space="preserve">For a metric conversion, the conversion factor you choose is the one that puts the __________ you want to cancel in the denominator.</w:t>
      </w:r>
    </w:p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student needs to convert 4.0 mol of copper atoms to individual atoms.</w:t>
      </w:r>
    </w:p>
    <w:p>
      <w:pPr>
        <w:pStyle w:val="BodyText"/>
      </w:pPr>
      <w:r>
        <w:rPr>
          <w:b/>
          <w:bCs/>
        </w:rPr>
        <w:t xml:space="preserve">Step 1 — Identify starting quantity and target unit:</w:t>
      </w:r>
    </w:p>
    <w:p>
      <w:pPr>
        <w:pStyle w:val="Compact"/>
        <w:numPr>
          <w:ilvl w:val="0"/>
          <w:numId w:val="1004"/>
        </w:numPr>
      </w:pPr>
      <w:r>
        <w:t xml:space="preserve">Starting quantity: ___________ mol Cu</w:t>
      </w:r>
    </w:p>
    <w:p>
      <w:pPr>
        <w:pStyle w:val="Compact"/>
        <w:numPr>
          <w:ilvl w:val="0"/>
          <w:numId w:val="1004"/>
        </w:numPr>
      </w:pPr>
      <w:r>
        <w:t xml:space="preserve">Target unit: ___________</w:t>
      </w:r>
    </w:p>
    <w:p>
      <w:pPr>
        <w:pStyle w:val="FirstParagraph"/>
      </w:pPr>
      <w:r>
        <w:rPr>
          <w:b/>
          <w:bCs/>
        </w:rPr>
        <w:t xml:space="preserve">Step 2 — Write the conversion factor (choose the orientation that cancels mol):</w:t>
      </w:r>
    </w:p>
    <w:p>
      <w:pPr>
        <w:pStyle w:val="BodyText"/>
      </w:pPr>
      <w:r>
        <w:t xml:space="preserve">Conversion factor: ___________ atoms / ___________ mol</w:t>
      </w:r>
    </w:p>
    <w:p>
      <w:pPr>
        <w:pStyle w:val="BodyText"/>
      </w:pPr>
      <w:r>
        <w:t xml:space="preserve">Explain why this orientation: _______________________________________________</w:t>
      </w:r>
    </w:p>
    <w:p>
      <w:pPr>
        <w:pStyle w:val="BodyText"/>
      </w:pPr>
      <w:r>
        <w:rPr>
          <w:b/>
          <w:bCs/>
        </w:rPr>
        <w:t xml:space="preserve">Step 3 — Set up the factor-label track: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Starting quantity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  <w:tc>
          <w:tcPr/>
          <w:p>
            <w:pPr>
              <w:pStyle w:val="Compact"/>
            </w:pPr>
            <w:r>
              <w:t xml:space="preserve">Conversion factor</w:t>
            </w:r>
          </w:p>
        </w:tc>
        <w:tc>
          <w:tcPr/>
          <w:p>
            <w:pPr>
              <w:pStyle w:val="Compact"/>
            </w:pPr>
            <w:r>
              <w:t xml:space="preserve">=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4.0 mol Cu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Units that cancel: ___________</w:t>
      </w:r>
    </w:p>
    <w:p>
      <w:pPr>
        <w:pStyle w:val="BodyText"/>
      </w:pPr>
      <w:r>
        <w:t xml:space="preserve">Surviving unit: ___________</w:t>
      </w:r>
    </w:p>
    <w:p>
      <w:pPr>
        <w:pStyle w:val="BodyText"/>
      </w:pPr>
      <w:r>
        <w:rPr>
          <w:b/>
          <w:bCs/>
        </w:rPr>
        <w:t xml:space="preserve">Step 4 — Calculate:</w:t>
      </w:r>
    </w:p>
    <w:p>
      <w:pPr>
        <w:pStyle w:val="BodyText"/>
      </w:pPr>
      <w:r>
        <w:t xml:space="preserve">4.0 × 6.02 × 10²³ = ___________ (write in scientific notation)</w:t>
      </w:r>
    </w:p>
    <w:p>
      <w:pPr>
        <w:pStyle w:val="BodyText"/>
      </w:pPr>
      <w:r>
        <w:rPr>
          <w:b/>
          <w:bCs/>
        </w:rPr>
        <w:t xml:space="preserve">Step 5 — Because / But / So</w:t>
      </w:r>
    </w:p>
    <w:p>
      <w:pPr>
        <w:pStyle w:val="BodyText"/>
      </w:pPr>
      <w:r>
        <w:t xml:space="preserve">The conversion factor (6.02 × 10²³ atoms / 1 mol) is placed with mol in the denominator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say why mol needs to be on the bottom;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explain that you can choose either orientation;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state what survives.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sentence (Because / But / So):</w:t>
      </w:r>
    </w:p>
    <w:p>
      <w:pPr>
        <w:pStyle w:val="BlockText"/>
      </w:pPr>
      <w:r>
        <w:t xml:space="preserve">Dimensional analysis works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Reminder:</w:t>
      </w:r>
      <w:r>
        <w:t xml:space="preserve"> </w:t>
      </w:r>
      <w:r>
        <w:t xml:space="preserve">Write units at every step of every conversion track. If the surviving unit is not the target unit, your conversion factor is oriented backwards — flip it and recalculate.</w:t>
      </w:r>
    </w:p>
    <w:p>
      <w:pPr>
        <w:pStyle w:val="BodyText"/>
      </w:pPr>
      <w:r>
        <w:rPr>
          <w:b/>
          <w:bCs/>
        </w:rPr>
        <w:t xml:space="preserve">Key number to know (from the Reference Table):</w:t>
      </w:r>
      <w:r>
        <w:t xml:space="preserve"> </w:t>
      </w:r>
      <w:r>
        <w:t xml:space="preserve">Avogadro’s number: 6.02 × 10²³ particles/mol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2026-06-01T17:44:22Z</dcterms:created>
  <dcterms:modified xsi:type="dcterms:W3CDTF">2026-06-01T17:44:22Z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