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 with a downward gravity arrow and an equal upward normal-force arrow, showing the net force is zero." title="" id="12" name="Picture"/>
            <a:graphic>
              <a:graphicData uri="http://schemas.openxmlformats.org/drawingml/2006/picture">
                <pic:pic>
                  <pic:nvPicPr>
                    <pic:cNvPr descr="figures/fbd_book_on_tab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 with a downward gravity arrow and an equal upward normal-force arrow, showing the net force is zero.</w:t>
      </w:r>
    </w:p>
    <w:p>
      <w:pPr>
        <w:pStyle w:val="BodyText"/>
      </w:pPr>
      <w:r>
        <w:t xml:space="preserve">When the net force is zero, velocity does not change. A moving object simply keeps its velocity — a flat line on a velocity–time graph: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Velocity–time graph showing a horizontal line at constant velocity, illustrating that zero net force means no change in velocity." title="" id="15" name="Picture"/>
            <a:graphic>
              <a:graphicData uri="http://schemas.openxmlformats.org/drawingml/2006/picture">
                <pic:pic>
                  <pic:nvPicPr>
                    <pic:cNvPr descr="figures/vt_constant_veloc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Velocity–time graph showing a horizontal line at constant velocity, illustrating that zero net force means no change in velocity.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2026-06-01T14:42:20Z</dcterms:created>
  <dcterms:modified xsi:type="dcterms:W3CDTF">2026-06-01T14:42:20Z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