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c95fde2c0769b81a7549455e0963a68feee3124"/>
    <w:p>
      <w:pPr>
        <w:pStyle w:val="Heading1"/>
      </w:pPr>
      <w:r>
        <w:t xml:space="preserve">Thermal Energy and Temperature — Teacher Guide</w:t>
      </w:r>
    </w:p>
    <w:bookmarkStart w:id="9" w:name="cover"/>
    <w:p>
      <w:pPr>
        <w:pStyle w:val="Heading2"/>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0"/>
    <w:bookmarkStart w:id="13" w:name="phenomenon"/>
    <w:p>
      <w:pPr>
        <w:pStyle w:val="Heading3"/>
      </w:pPr>
      <w:r>
        <w:t xml:space="preserve">Phenomenon</w:t>
      </w:r>
    </w:p>
    <w:p>
      <w:pPr>
        <w:pStyle w:val="Compact"/>
        <w:numPr>
          <w:ilvl w:val="0"/>
          <w:numId w:val="1001"/>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1">
        <w:r>
          <w:rPr>
            <w:rStyle w:val="Hyperlink"/>
          </w:rPr>
          <w:t xml:space="preserve">https://www.youtube.com/watch?v=A9eDRUd6lZk</w:t>
        </w:r>
      </w:hyperlink>
      <w:r>
        <w:t xml:space="preserve"> </w:t>
      </w:r>
      <w:r>
        <w:t xml:space="preserve">(sparkler chemistry/temperature)</w:t>
      </w:r>
    </w:p>
    <w:p>
      <w:pPr>
        <w:pStyle w:val="Compact"/>
        <w:numPr>
          <w:ilvl w:val="0"/>
          <w:numId w:val="1001"/>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2">
        <w:r>
          <w:rPr>
            <w:rStyle w:val="Hyperlink"/>
          </w:rPr>
          <w:t xml:space="preserve">https://phet.colorado.edu/en/simulations/states-of-matter-basics</w:t>
        </w:r>
      </w:hyperlink>
    </w:p>
    <w:bookmarkEnd w:id="13"/>
    <w:bookmarkStart w:id="16" w:name="javalab-labs"/>
    <w:p>
      <w:pPr>
        <w:pStyle w:val="Heading3"/>
      </w:pPr>
      <w:r>
        <w:t xml:space="preserve">Javalab / Labs</w:t>
      </w:r>
    </w:p>
    <w:p>
      <w:pPr>
        <w:pStyle w:val="Compact"/>
        <w:numPr>
          <w:ilvl w:val="0"/>
          <w:numId w:val="1002"/>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4">
        <w:r>
          <w:rPr>
            <w:rStyle w:val="Hyperlink"/>
          </w:rPr>
          <w:t xml:space="preserve">https://javalab.org/en/brownian_motion_en/</w:t>
        </w:r>
      </w:hyperlink>
    </w:p>
    <w:p>
      <w:pPr>
        <w:pStyle w:val="Compact"/>
        <w:numPr>
          <w:ilvl w:val="0"/>
          <w:numId w:val="1002"/>
        </w:numPr>
      </w:pPr>
      <w:r>
        <w:t xml:space="preserve">Javalab —</w:t>
      </w:r>
      <w:r>
        <w:t xml:space="preserve"> </w:t>
      </w:r>
      <w:r>
        <w:rPr>
          <w:i/>
          <w:iCs/>
        </w:rPr>
        <w:t xml:space="preserve">Temperature and molecular motion</w:t>
      </w:r>
      <w:r>
        <w:t xml:space="preserve">:</w:t>
      </w:r>
      <w:r>
        <w:t xml:space="preserve"> </w:t>
      </w:r>
      <w:hyperlink r:id="rId15">
        <w:r>
          <w:rPr>
            <w:rStyle w:val="Hyperlink"/>
          </w:rPr>
          <w:t xml:space="preserve">https://javalab.org/en/temperature_en/</w:t>
        </w:r>
      </w:hyperlink>
    </w:p>
    <w:bookmarkEnd w:id="16"/>
    <w:bookmarkStart w:id="17" w:name="assessments"/>
    <w:p>
      <w:pPr>
        <w:pStyle w:val="Heading3"/>
      </w:pPr>
      <w:r>
        <w:t xml:space="preserve">Assessments</w:t>
      </w:r>
    </w:p>
    <w:p>
      <w:pPr>
        <w:pStyle w:val="Compact"/>
        <w:numPr>
          <w:ilvl w:val="0"/>
          <w:numId w:val="1003"/>
        </w:numPr>
      </w:pPr>
      <w:r>
        <w:t xml:space="preserve">Exit Ticket below (sparkler vs. bathtub ranking) is the formative check.</w:t>
      </w:r>
    </w:p>
    <w:p>
      <w:pPr>
        <w:pStyle w:val="Compact"/>
        <w:numPr>
          <w:ilvl w:val="0"/>
          <w:numId w:val="1003"/>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004"/>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004"/>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004"/>
        </w:numPr>
      </w:pPr>
      <w:r>
        <w:t xml:space="preserve">Explain how two objects can be at the same temperature yet hold very different amounts of thermal energy (a cup vs. a swimming pool).</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20"/>
    <w:bookmarkStart w:id="21" w:name="min-phenomenon-hook-sparkler-vs.-bathtub"/>
    <w:p>
      <w:pPr>
        <w:pStyle w:val="Heading3"/>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005"/>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005"/>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005"/>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25"/>
    <w:bookmarkStart w:id="29" w:name="X5c4914b718df219ad5d55798fd7b4a4e39dc3a1"/>
    <w:p>
      <w:pPr>
        <w:pStyle w:val="Heading3"/>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006"/>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006"/>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006"/>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27" name="Picture"/>
            <a:graphic>
              <a:graphicData uri="http://schemas.openxmlformats.org/drawingml/2006/picture">
                <pic:pic>
                  <pic:nvPicPr>
                    <pic:cNvPr descr="figures/particle_speed.png" id="28" name="Picture"/>
                    <pic:cNvPicPr>
                      <a:picLocks noChangeArrowheads="1" noChangeAspect="1"/>
                    </pic:cNvPicPr>
                  </pic:nvPicPr>
                  <pic:blipFill>
                    <a:blip r:embed="rId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007"/>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007"/>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5" w:name="min-turn-and-talk-2-class-consensus"/>
    <w:p>
      <w:pPr>
        <w:pStyle w:val="Heading3"/>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33" name="Picture"/>
            <a:graphic>
              <a:graphicData uri="http://schemas.openxmlformats.org/drawingml/2006/picture">
                <pic:pic>
                  <pic:nvPicPr>
                    <pic:cNvPr descr="figures/cup_vs_pool_energy.png" id="34" name="Picture"/>
                    <pic:cNvPicPr>
                      <a:picLocks noChangeArrowheads="1" noChangeAspect="1"/>
                    </pic:cNvPicPr>
                  </pic:nvPicPr>
                  <pic:blipFill>
                    <a:blip r:embed="rId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35"/>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36"/>
    <w:bookmarkStart w:id="37" w:name="discussion-prompts-to-deploy-here"/>
    <w:p>
      <w:pPr>
        <w:pStyle w:val="Heading3"/>
      </w:pPr>
      <w:r>
        <w:t xml:space="preserve">Discussion prompts to deploy here</w:t>
      </w:r>
    </w:p>
    <w:p>
      <w:pPr>
        <w:pStyle w:val="Compact"/>
        <w:numPr>
          <w:ilvl w:val="0"/>
          <w:numId w:val="1008"/>
        </w:numPr>
      </w:pPr>
      <w:r>
        <w:t xml:space="preserve">“A cup of tea and a backyard pool both read 30 °C. Which has more thermal energy, and why?”</w:t>
      </w:r>
    </w:p>
    <w:p>
      <w:pPr>
        <w:pStyle w:val="Compact"/>
        <w:numPr>
          <w:ilvl w:val="1"/>
          <w:numId w:val="1009"/>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008"/>
        </w:numPr>
      </w:pPr>
      <w:r>
        <w:t xml:space="preserve">“Why is the sparkler safe to hold even though it is hotter than the bath?”</w:t>
      </w:r>
    </w:p>
    <w:p>
      <w:pPr>
        <w:pStyle w:val="Compact"/>
        <w:numPr>
          <w:ilvl w:val="1"/>
          <w:numId w:val="1010"/>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39"/>
    <w:bookmarkStart w:id="40" w:name="min-return-to-the-phenomenon"/>
    <w:p>
      <w:pPr>
        <w:pStyle w:val="Heading3"/>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011"/>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011"/>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012"/>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012"/>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013"/>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014"/>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014"/>
        </w:numPr>
      </w:pPr>
      <w:r>
        <w:rPr>
          <w:b/>
          <w:bCs/>
        </w:rPr>
        <w:t xml:space="preserve">kinetic energy</w:t>
      </w:r>
      <w:r>
        <w:t xml:space="preserve"> </w:t>
      </w:r>
      <w:r>
        <w:t xml:space="preserve">— the energy an object or particle has because of its motion</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brownian_motion_en/" TargetMode="External" /><Relationship Type="http://schemas.openxmlformats.org/officeDocument/2006/relationships/hyperlink" Id="rId15" Target="https://javalab.org/en/temperature_en/" TargetMode="External" /><Relationship Type="http://schemas.openxmlformats.org/officeDocument/2006/relationships/hyperlink" Id="rId12" Target="https://phet.colorado.edu/en/simulations/states-of-matter-basics" TargetMode="External" /><Relationship Type="http://schemas.openxmlformats.org/officeDocument/2006/relationships/hyperlink" Id="rId11" Target="https://www.youtube.com/watch?v=A9eDRUd6lZ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2026-06-01T14:45:57Z</dcterms:created>
  <dcterms:modified xsi:type="dcterms:W3CDTF">2026-06-01T14:45:57Z</dcterms:modified>
</cp:coreProperties>
</file>

<file path=docProps/custom.xml><?xml version="1.0" encoding="utf-8"?>
<Properties xmlns="http://schemas.openxmlformats.org/officeDocument/2006/custom-properties" xmlns:vt="http://schemas.openxmlformats.org/officeDocument/2006/docPropsVTypes"/>
</file>