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b6d18a75393c4eaf31f31801550d15e2fe39ba"/>
    <w:p>
      <w:pPr>
        <w:pStyle w:val="Heading1"/>
      </w:pPr>
      <w:r>
        <w:t xml:space="preserve">Lab Safety &amp; Working Like a Scientist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Safety and Measurement — Lesson 01: Lab Safety &amp; Working Like a Scientist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SEP-3 / foundational (no content PE)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Hazard:</w:t>
      </w:r>
      <w:r>
        <w:t xml:space="preserve"> </w:t>
      </w:r>
      <w:r>
        <w:t xml:space="preserve">the test tube contains a heated liquid that can splash in any direction when tilted; pointing it at a partner puts another person in the splash zone.</w:t>
      </w:r>
      <w:r>
        <w:t xml:space="preserve"> </w:t>
      </w:r>
      <w:r>
        <w:rPr>
          <w:b/>
          <w:bCs/>
        </w:rPr>
        <w:t xml:space="preserve">Missing safety step:</w:t>
      </w:r>
      <w:r>
        <w:t xml:space="preserve"> </w:t>
      </w:r>
      <w:r>
        <w:t xml:space="preserve">point the test tube away from all people (including yourself) when heating.</w:t>
      </w:r>
      <w:r>
        <w:t xml:space="preserve"> </w:t>
      </w:r>
      <w:r>
        <w:rPr>
          <w:b/>
          <w:bCs/>
        </w:rPr>
        <w:t xml:space="preserve">Without it:</w:t>
      </w:r>
      <w:r>
        <w:t xml:space="preserve"> </w:t>
      </w:r>
      <w:r>
        <w:t xml:space="preserve">the boiling or superheated liquid could splash onto the partner’s face, eyes, or skin, causing burns or eye injury.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the specific direction hazard AND states to redirect the tube away from people → full credit; names only goggles without addressing the direction problem → partial. · NYSSLS: SEP-3 / foundational.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Hazard:</w:t>
      </w:r>
      <w:r>
        <w:t xml:space="preserve"> </w:t>
      </w:r>
      <w:r>
        <w:t xml:space="preserve">chemical splash to clothing and skin underneath.</w:t>
      </w:r>
      <w:r>
        <w:t xml:space="preserve"> </w:t>
      </w:r>
      <w:r>
        <w:rPr>
          <w:b/>
          <w:bCs/>
        </w:rPr>
        <w:t xml:space="preserve">Missing PPE:</w:t>
      </w:r>
      <w:r>
        <w:t xml:space="preserve"> </w:t>
      </w:r>
      <w:r>
        <w:t xml:space="preserve">apron (a chemical-resistant lab apron).</w:t>
      </w:r>
      <w:r>
        <w:t xml:space="preserve"> </w:t>
      </w:r>
      <w:r>
        <w:rPr>
          <w:b/>
          <w:bCs/>
        </w:rPr>
        <w:t xml:space="preserve">The apron would have prevented:</w:t>
      </w:r>
      <w:r>
        <w:t xml:space="preserve"> </w:t>
      </w:r>
      <w:r>
        <w:t xml:space="preserve">the chemical from soaking through clothing and contacting skin, reducing the risk of a chemical burn or irritation.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apron AND explains skin/clothing protection → full credit. · NYSSLS: SEP-3 / foundational.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Hazard:</w:t>
      </w:r>
      <w:r>
        <w:t xml:space="preserve"> </w:t>
      </w:r>
      <w:r>
        <w:t xml:space="preserve">an acidic or reactive chemical that can dissolve or permeate standard latex gloves, contacting the skin underneath.</w:t>
      </w:r>
      <w:r>
        <w:t xml:space="preserve"> </w:t>
      </w:r>
      <w:r>
        <w:rPr>
          <w:b/>
          <w:bCs/>
        </w:rPr>
        <w:t xml:space="preserve">What the student should have done:</w:t>
      </w:r>
      <w:r>
        <w:t xml:space="preserve"> </w:t>
      </w:r>
      <w:r>
        <w:t xml:space="preserve">read the SDS before starting, specifically Section 8 (Exposure Controls / PPE), to identify the correct glove type.</w:t>
      </w:r>
      <w:r>
        <w:t xml:space="preserve"> </w:t>
      </w:r>
      <w:r>
        <w:rPr>
          <w:b/>
          <w:bCs/>
        </w:rPr>
        <w:t xml:space="preserve">Where that information lives:</w:t>
      </w:r>
      <w:r>
        <w:t xml:space="preserve"> </w:t>
      </w:r>
      <w:r>
        <w:t xml:space="preserve">the SDS — Section 8 specifies required glove material (e.g., nitrile, neoprene, or acid-resistant).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the SDS AND Section 8 → full credit; says</w:t>
      </w:r>
      <w:r>
        <w:t xml:space="preserve"> </w:t>
      </w:r>
      <w:r>
        <w:t xml:space="preserve">“the SDS”</w:t>
      </w:r>
      <w:r>
        <w:t xml:space="preserve"> </w:t>
      </w:r>
      <w:r>
        <w:t xml:space="preserve">without section → partial credit. · NYSSLS: SEP-3 / foundational.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Goggles</w:t>
      </w:r>
      <w:r>
        <w:t xml:space="preserve"> </w:t>
      </w:r>
      <w:r>
        <w:t xml:space="preserve">— protect the eyes from the liquid splash; a splash that contacts an unprotected eye can cause serious eye irritation or damage.</w:t>
      </w:r>
      <w:r>
        <w:t xml:space="preserve"> </w:t>
      </w:r>
      <w:r>
        <w:rPr>
          <w:b/>
          <w:bCs/>
        </w:rPr>
        <w:t xml:space="preserve">Apron</w:t>
      </w:r>
      <w:r>
        <w:t xml:space="preserve"> </w:t>
      </w:r>
      <w:r>
        <w:t xml:space="preserve">— protects skin and clothing from the splash; if the liquid is corrosive or irritating, the apron prevents skin contact and chemical absorption through fabric.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SDS (Safety Data Sheet)</w:t>
      </w:r>
      <w:r>
        <w:t xml:space="preserve"> </w:t>
      </w:r>
      <w:r>
        <w:t xml:space="preserve">— specifically Section 2 for the hazard statement and Section 4 for first-aid steps. Every chemical used in the lab has an SDS on file; looking it up before starting is standard practice.</w:t>
      </w:r>
    </w:p>
    <w:p>
      <w:pPr>
        <w:numPr>
          <w:ilvl w:val="0"/>
          <w:numId w:val="1002"/>
        </w:numPr>
      </w:pPr>
      <w:r>
        <w:t xml:space="preserve">Sample full-credit response:</w:t>
      </w:r>
      <w:r>
        <w:t xml:space="preserve"> </w:t>
      </w:r>
      <w:r>
        <w:rPr>
          <w:i/>
          <w:iCs/>
        </w:rPr>
        <w:t xml:space="preserve">“Following the safety routine matters because it breaks the cause→effect chain — the hazard (the splash) still happens, but the PPE and procedures prevent the effect (an injury) from reaching the student.”</w:t>
      </w:r>
      <w:r>
        <w:t xml:space="preserve"> </w:t>
      </w:r>
      <w:r>
        <w:t xml:space="preserve">Any equivalent response that uses cause/effect or hazard/prevent language and explains prevention (not just rule-following) earns full credit.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1 point for each PPE item with a correct reason — 2 points total; partial credit for naming the item without the reason (1 point total). (b) 1 point for naming SDS; bonus for citing a specific section number. (c) 1 point for any honest, evidence-based explanation; full credit requires either cause/effect vocabulary or hazard/prevent vocabulary and a logical connection. NYSSLS: SEP-3 / foundational.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 response. Look for:</w:t>
      </w:r>
    </w:p>
    <w:p>
      <w:pPr>
        <w:pStyle w:val="Compact"/>
        <w:numPr>
          <w:ilvl w:val="0"/>
          <w:numId w:val="1003"/>
        </w:numPr>
      </w:pPr>
      <w:r>
        <w:t xml:space="preserve">A specific behavioral intention —</w:t>
      </w:r>
      <w:r>
        <w:t xml:space="preserve"> </w:t>
      </w:r>
      <w:r>
        <w:t xml:space="preserve">“I will always put my goggles on before I open any chemical container”</w:t>
      </w:r>
      <w:r>
        <w:t xml:space="preserve"> </w:t>
      </w:r>
      <w:r>
        <w:t xml:space="preserve">— rather than a generic statement like</w:t>
      </w:r>
      <w:r>
        <w:t xml:space="preserve"> </w:t>
      </w:r>
      <w:r>
        <w:t xml:space="preserve">“I’ll be safe.”</w:t>
      </w:r>
    </w:p>
    <w:p>
      <w:pPr>
        <w:pStyle w:val="Compact"/>
        <w:numPr>
          <w:ilvl w:val="0"/>
          <w:numId w:val="1003"/>
        </w:numPr>
      </w:pPr>
      <w:r>
        <w:t xml:space="preserve">Naming a peer, a moment from the scavenger hunt, or the SDS reading as the thing that changed their thinking — this signals the lesson’s collaborative structure landed.</w:t>
      </w:r>
    </w:p>
    <w:p>
      <w:pPr>
        <w:pStyle w:val="Compact"/>
        <w:numPr>
          <w:ilvl w:val="0"/>
          <w:numId w:val="1003"/>
        </w:numPr>
      </w:pPr>
      <w:r>
        <w:t xml:space="preserve">Any response that connects the hazard concept to their prior experience (the restorative circle story) shows the strongest transfer.</w:t>
      </w:r>
    </w:p>
    <w:p>
      <w:pPr>
        <w:pStyle w:val="FirstParagraph"/>
      </w:pPr>
      <w:r>
        <w:t xml:space="preserve">If a student writes</w:t>
      </w:r>
      <w:r>
        <w:t xml:space="preserve"> </w:t>
      </w:r>
      <w:r>
        <w:t xml:space="preserve">“nothing changed,”</w:t>
      </w:r>
      <w:r>
        <w:t xml:space="preserve"> </w:t>
      </w:r>
      <w:r>
        <w:t xml:space="preserve">have a brief one-on-one conversation before the next lab — not punitive, but a low-stakes check on whether safety norms have been established.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2026-06-01T19:45:13Z</dcterms:created>
  <dcterms:modified xsi:type="dcterms:W3CDTF">2026-06-01T19:45:13Z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