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3" w:name="density-answer-key"/>
    <w:p>
      <w:pPr>
        <w:pStyle w:val="Heading1"/>
      </w:pPr>
      <w:r>
        <w:t xml:space="preserve">Density — Answer Key</w:t>
      </w:r>
    </w:p>
    <w:bookmarkStart w:id="9" w:name="cover"/>
    <w:p>
      <w:pPr>
        <w:pStyle w:val="Heading2"/>
      </w:pPr>
      <w:r>
        <w:t xml:space="preserve">Cover</w:t>
      </w:r>
    </w:p>
    <w:p>
      <w:pPr>
        <w:pStyle w:val="FirstParagraph"/>
      </w:pPr>
      <w:r>
        <w:t xml:space="preserve">Unit: Safety and Measurement — Lesson 05: Density</w:t>
      </w:r>
      <w:r>
        <w:t xml:space="preserve"> </w:t>
      </w:r>
      <w:r>
        <w:t xml:space="preserve">East Meadow Schools × Valley Stream Central High School District</w:t>
      </w:r>
      <w:r>
        <w:t xml:space="preserve"> </w:t>
      </w:r>
      <w:r>
        <w:t xml:space="preserve">NYSSLS tag: HS-PS2-6</w:t>
      </w:r>
    </w:p>
    <w:bookmarkEnd w:id="9"/>
    <w:bookmarkStart w:id="10" w:name="make-it-make-sense-answers"/>
    <w:p>
      <w:pPr>
        <w:pStyle w:val="Heading2"/>
      </w:pPr>
      <w:r>
        <w:t xml:space="preserve">Make-It-Make-Sense Answers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Find the density of a 54.0 g aluminum block with a volume of 20.0 mL:</w:t>
      </w:r>
    </w:p>
    <w:p>
      <w:pPr>
        <w:numPr>
          <w:ilvl w:val="0"/>
          <w:numId w:val="1000"/>
        </w:numPr>
      </w:pPr>
      <w:r>
        <w:t xml:space="preserve">D = m / V = 54.0 g / 20.0 mL =</w:t>
      </w:r>
      <w:r>
        <w:t xml:space="preserve"> </w:t>
      </w:r>
      <w:r>
        <w:rPr>
          <w:b/>
          <w:bCs/>
        </w:rPr>
        <w:t xml:space="preserve">2.70 g/mL</w:t>
      </w:r>
    </w:p>
    <w:p>
      <w:pPr>
        <w:numPr>
          <w:ilvl w:val="0"/>
          <w:numId w:val="1000"/>
        </w:numPr>
      </w:pPr>
      <w:r>
        <w:t xml:space="preserve">Float/sink:</w:t>
      </w:r>
      <w:r>
        <w:t xml:space="preserve"> </w:t>
      </w:r>
      <w:r>
        <w:rPr>
          <w:b/>
          <w:bCs/>
        </w:rPr>
        <w:t xml:space="preserve">sinks</w:t>
      </w:r>
      <w:r>
        <w:t xml:space="preserve"> </w:t>
      </w:r>
      <w:r>
        <w:t xml:space="preserve">— because 2.70 g/mL &gt; 1.0 g/mL (water). An object sinks when its density exceeds that of the surrounding liquid.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numerical answer (2.70 g/mL); 1 point for the correct float/sink call with a comparison of the two densities stated. A student who writes</w:t>
      </w:r>
      <w:r>
        <w:t xml:space="preserve"> </w:t>
      </w:r>
      <w:r>
        <w:t xml:space="preserve">“it floats because it is aluminum”</w:t>
      </w:r>
      <w:r>
        <w:t xml:space="preserve"> </w:t>
      </w:r>
      <w:r>
        <w:t xml:space="preserve">(without the density comparison) earns partial credit — they must compare numbers. NYSSLS: HS-PS2-6.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Find the mass of a copper piece with density 8.96 g/mL and volume 3.0 mL:</w:t>
      </w:r>
    </w:p>
    <w:p>
      <w:pPr>
        <w:numPr>
          <w:ilvl w:val="0"/>
          <w:numId w:val="1000"/>
        </w:numPr>
      </w:pPr>
      <w:r>
        <w:t xml:space="preserve">m = D × V = 8.96 g/mL × 3.0 mL =</w:t>
      </w:r>
      <w:r>
        <w:t xml:space="preserve"> </w:t>
      </w:r>
      <w:r>
        <w:rPr>
          <w:b/>
          <w:bCs/>
        </w:rPr>
        <w:t xml:space="preserve">26.88 g ≈ 26.9 g</w:t>
      </w:r>
      <w:r>
        <w:t xml:space="preserve"> </w:t>
      </w:r>
      <w:r>
        <w:t xml:space="preserve">(3 sig figs, limited by 3.0 mL)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setup (m = D × V, not V = m/D or another inversion); 1 point for the correct numerical answer (accept 26.88 g or 26.9 g with appropriate sig-fig notation). A student who writes D = m/V and then divides 8.96 by 3.0 (getting ≈ 2.99 g/mL, the wrong quantity) should receive feedback identifying the unit error — the result has units of g/mL, not grams. NYSSLS: HS-PS2-6.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Find the volume of a mystery liquid with density 0.79 g/mL and mass 47.4 g:</w:t>
      </w:r>
    </w:p>
    <w:p>
      <w:pPr>
        <w:numPr>
          <w:ilvl w:val="0"/>
          <w:numId w:val="1000"/>
        </w:numPr>
      </w:pPr>
      <w:r>
        <w:t xml:space="preserve">V = m / D = 47.4 g / 0.79 g/mL =</w:t>
      </w:r>
      <w:r>
        <w:t xml:space="preserve"> </w:t>
      </w:r>
      <w:r>
        <w:rPr>
          <w:b/>
          <w:bCs/>
        </w:rPr>
        <w:t xml:space="preserve">60.0 mL</w:t>
      </w:r>
      <w:r>
        <w:t xml:space="preserve"> </w:t>
      </w:r>
      <w:r>
        <w:t xml:space="preserve">(3 sig figs)</w:t>
      </w:r>
    </w:p>
    <w:p>
      <w:pPr>
        <w:numPr>
          <w:ilvl w:val="0"/>
          <w:numId w:val="1000"/>
        </w:numPr>
      </w:pPr>
      <w:r>
        <w:t xml:space="preserve">Float/sink context: the density 0.79 g/mL &lt; 1.0 g/mL, so this liquid floats on water (it is likely ethanol or a similar organic solvent).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setup (V = m/D); 1 point for the correct numerical answer (60.0 mL or 60 mL). Students who invert and write m/V and arrive at the right number but wrong units (g/mL) should be marked down — the unit is the check. NYSSLS: HS-PS2-6.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Explain why the slope of a mass-vs-volume graph equals density: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slope of a graph equals rise divided by run. On a mass-vs-volume graph, rise is mass (in grams) and run is volume (in mL), so slope = mass/volume = D (in g/mL). The slope equals density because density is defined as the ratio of mass to volume — which is exactly what slope measures on this graph.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identifying that slope = Δmass/Δvolume; 1 point for connecting this ratio to the definition of density (D = m/V). Responses that say only</w:t>
      </w:r>
      <w:r>
        <w:t xml:space="preserve"> </w:t>
      </w:r>
      <w:r>
        <w:t xml:space="preserve">“because the axes are mass and volume”</w:t>
      </w:r>
      <w:r>
        <w:t xml:space="preserve"> </w:t>
      </w:r>
      <w:r>
        <w:t xml:space="preserve">without explicitly connecting slope to the ratio earn partial credit. NYSSLS: HS-PS2-6.</w:t>
      </w:r>
    </w:p>
    <w:p>
      <w:pPr>
        <w:numPr>
          <w:ilvl w:val="0"/>
          <w:numId w:val="1001"/>
        </w:numPr>
      </w:pPr>
      <w:r>
        <w:rPr>
          <w:b/>
          <w:bCs/>
        </w:rPr>
        <w:t xml:space="preserve">Predict float/sink for an unknown object with density 0.72 g/mL: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The object floats in water because its density (0.72 g/mL) is less than the density of water (1.0 g/mL). An object floats when it is less dense than the liquid it is placed in.</w:t>
      </w:r>
    </w:p>
    <w:p>
      <w:pPr>
        <w:numPr>
          <w:ilvl w:val="0"/>
          <w:numId w:val="1000"/>
        </w:numPr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prediction (floats); 1 point for the correct reasoning — must include an explicit numerical comparison (0.72 g/mL &lt; 1.0 g/mL). NYSSLS: HS-PS2-6.</w:t>
      </w:r>
    </w:p>
    <w:bookmarkEnd w:id="10"/>
    <w:bookmarkStart w:id="11" w:name="exit-ticket-answer"/>
    <w:p>
      <w:pPr>
        <w:pStyle w:val="Heading2"/>
      </w:pPr>
      <w:r>
        <w:t xml:space="preserve">Exit Ticket Answer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Density of a 13.5 g aluminum cube that displaces 5.0 mL of water:</w:t>
      </w:r>
    </w:p>
    <w:p>
      <w:pPr>
        <w:pStyle w:val="FirstParagraph"/>
      </w:pPr>
      <w:r>
        <w:t xml:space="preserve">D = m / V = 13.5 g / 5.0 mL =</w:t>
      </w:r>
      <w:r>
        <w:t xml:space="preserve"> </w:t>
      </w:r>
      <w:r>
        <w:rPr>
          <w:b/>
          <w:bCs/>
        </w:rPr>
        <w:t xml:space="preserve">2.7 g/mL</w:t>
      </w:r>
    </w:p>
    <w:p>
      <w:pPr>
        <w:pStyle w:val="BodyText"/>
      </w:pPr>
      <w:r>
        <w:t xml:space="preserve">(2 significant figures, limited by 5.0 mL)</w:t>
      </w:r>
    </w:p>
    <w:p>
      <w:pPr>
        <w:pStyle w:val="BodyText"/>
      </w:pPr>
      <w:r>
        <w:t xml:space="preserve">The displaced water volume (5.0 mL) is the volume of the cube — this is the water-displacement method for measuring volume of an irregular solid.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numerical answer (2.7 g/mL); 1 point for the correct setup (m in numerator, V in denominator). A student who writes V/m = 5.0/13.5 = 0.37 mL/g should receive feedback that the units are inverted — the unit g/mL is the self-check. NYSSLS: HS-PS2-6.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Float or sink in water?</w:t>
      </w:r>
    </w:p>
    <w:p>
      <w:pPr>
        <w:pStyle w:val="FirstParagraph"/>
      </w:pPr>
      <w:r>
        <w:rPr>
          <w:b/>
          <w:bCs/>
        </w:rPr>
        <w:t xml:space="preserve">Sinks</w:t>
      </w:r>
      <w:r>
        <w:t xml:space="preserve"> </w:t>
      </w:r>
      <w:r>
        <w:t xml:space="preserve">— because 2.7 g/mL &gt; 1.0 g/mL (the density of water). To float, the object’s density must be less than the liquid’s density.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the correct call (sinks); 1 point for citing both densities and the comparison (2.7 &gt; 1.0). A student who says</w:t>
      </w:r>
      <w:r>
        <w:t xml:space="preserve"> </w:t>
      </w:r>
      <w:r>
        <w:t xml:space="preserve">“it sinks because it is aluminum”</w:t>
      </w:r>
      <w:r>
        <w:t xml:space="preserve"> </w:t>
      </w:r>
      <w:r>
        <w:t xml:space="preserve">without the density comparison earns 0.5 partial credit. NYSSLS: HS-PS2-6.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Why does ice float — particle-level explanation:</w:t>
      </w:r>
    </w:p>
    <w:p>
      <w:pPr>
        <w:pStyle w:val="FirstParagraph"/>
      </w:pPr>
      <w:r>
        <w:rPr>
          <w:i/>
          <w:iCs/>
        </w:rPr>
        <w:t xml:space="preserve">Full-credit model answer:</w:t>
      </w:r>
      <w:r>
        <w:t xml:space="preserve"> </w:t>
      </w:r>
      <w:r>
        <w:t xml:space="preserve">Ice forms an open hexagonal lattice that spaces water molecules farther apart than in liquid water, giving ice a lower density (≈ 0.92 g/mL) than liquid water (1.0 g/mL), so ice floats.</w:t>
      </w:r>
    </w:p>
    <w:p>
      <w:pPr>
        <w:pStyle w:val="BodyText"/>
      </w:pPr>
      <w:r>
        <w:rPr>
          <w:i/>
          <w:iCs/>
        </w:rPr>
        <w:t xml:space="preserve">Acceptable variations:</w:t>
      </w:r>
      <w:r>
        <w:t xml:space="preserve"> </w:t>
      </w:r>
      <w:r>
        <w:t xml:space="preserve">Any response that (i) names the structural reason (open lattice / spread-out particles in ice), (ii) connects this to density (ice less dense than liquid water), and (iii) states the consequence (floats) earns full credit. Responses that say only</w:t>
      </w:r>
      <w:r>
        <w:t xml:space="preserve"> </w:t>
      </w:r>
      <w:r>
        <w:t xml:space="preserve">“ice is less dense”</w:t>
      </w:r>
      <w:r>
        <w:t xml:space="preserve"> </w:t>
      </w:r>
      <w:r>
        <w:t xml:space="preserve">without any particle-level reasoning earn partial credit.</w:t>
      </w:r>
    </w:p>
    <w:p>
      <w:pPr>
        <w:pStyle w:val="BodyText"/>
      </w:pPr>
      <w:r>
        <w:rPr>
          <w:i/>
          <w:iCs/>
        </w:rPr>
        <w:t xml:space="preserve">Rubric:</w:t>
      </w:r>
      <w:r>
        <w:t xml:space="preserve"> </w:t>
      </w:r>
      <w:r>
        <w:t xml:space="preserve">1 point for a structural reason (particle spacing, open lattice, or equivalent); 1 point for the density comparison; 0.5 partial credit for</w:t>
      </w:r>
      <w:r>
        <w:t xml:space="preserve"> </w:t>
      </w:r>
      <w:r>
        <w:t xml:space="preserve">“ice is less dense”</w:t>
      </w:r>
      <w:r>
        <w:t xml:space="preserve"> </w:t>
      </w:r>
      <w:r>
        <w:t xml:space="preserve">with no structural explanation. NYSSLS: HS-PS2-6.</w:t>
      </w:r>
    </w:p>
    <w:bookmarkEnd w:id="11"/>
    <w:bookmarkStart w:id="12" w:name="closing-reflection-rubric"/>
    <w:p>
      <w:pPr>
        <w:pStyle w:val="Heading2"/>
      </w:pPr>
      <w:r>
        <w:t xml:space="preserve">Closing Reflection (rubric)</w:t>
      </w:r>
    </w:p>
    <w:p>
      <w:pPr>
        <w:pStyle w:val="FirstParagraph"/>
      </w:pPr>
      <w:r>
        <w:t xml:space="preserve">The closing reflection is formative, not graded. Award full credit for any genuine, specific response. Look for:</w:t>
      </w:r>
    </w:p>
    <w:p>
      <w:pPr>
        <w:pStyle w:val="Compact"/>
        <w:numPr>
          <w:ilvl w:val="0"/>
          <w:numId w:val="1005"/>
        </w:numPr>
      </w:pPr>
      <w:r>
        <w:t xml:space="preserve">Responses that name the specific structural feature (open hexagonal lattice, hydrogen bonds, spread-out particles) show that the Structure and Function CCC has taken root — the student can name the molecular-level mechanism rather than just the macroscopic outcome.</w:t>
      </w:r>
    </w:p>
    <w:p>
      <w:pPr>
        <w:pStyle w:val="Compact"/>
        <w:numPr>
          <w:ilvl w:val="0"/>
          <w:numId w:val="1005"/>
        </w:numPr>
      </w:pPr>
      <w:r>
        <w:t xml:space="preserve">Responses that mention the ecological importance (fish, lakes, aquatic life) show that the phenomenon anchored the concept in a real-world context larger than the lab bench — a sign that the phenomenon-based design worked.</w:t>
      </w:r>
    </w:p>
    <w:p>
      <w:pPr>
        <w:pStyle w:val="Compact"/>
        <w:numPr>
          <w:ilvl w:val="0"/>
          <w:numId w:val="1005"/>
        </w:numPr>
      </w:pPr>
      <w:r>
        <w:t xml:space="preserve">Students who name a partner who helped them during the measurement activity or the graph interpretation are demonstrating that collaborative sense-making happened — note these pairs for strategic grouping in the next lesson.</w:t>
      </w:r>
    </w:p>
    <w:p>
      <w:pPr>
        <w:pStyle w:val="Compact"/>
        <w:numPr>
          <w:ilvl w:val="0"/>
          <w:numId w:val="1005"/>
        </w:numPr>
      </w:pPr>
      <w:r>
        <w:t xml:space="preserve">If a student’s Exit Ticket part (c) says</w:t>
      </w:r>
      <w:r>
        <w:t xml:space="preserve"> </w:t>
      </w:r>
      <w:r>
        <w:t xml:space="preserve">“ice floats because it is less dense”</w:t>
      </w:r>
      <w:r>
        <w:t xml:space="preserve"> </w:t>
      </w:r>
      <w:r>
        <w:t xml:space="preserve">without particle reasoning, the follow-up prompt is:</w:t>
      </w:r>
      <w:r>
        <w:t xml:space="preserve"> </w:t>
      </w:r>
      <w:r>
        <w:t xml:space="preserve">“Why is ice less dense? What is different about the arrangement of the water molecules in ice vs. liquid water?”</w:t>
      </w:r>
      <w:r>
        <w:t xml:space="preserve"> </w:t>
      </w:r>
      <w:r>
        <w:t xml:space="preserve">This probes whether the student understands the mechanism or has only memorized the outcome.</w:t>
      </w:r>
    </w:p>
    <w:bookmarkEnd w:id="12"/>
    <w:bookmarkEnd w:id="13"/>
    <w:sectPr w:rsidR="00FC693F" w:rsidRPr="0006063C" w:rsidSect="00034616">
      <w:pgSz w:h="15840" w:w="12240"/>
      <w:pgMar w:bottom="1152" w:footer="720" w:gutter="0" w:header="720" w:left="1296" w:right="1296" w:top="1152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(%2)"/>
      <w:lvlJc w:val="left"/>
      <w:pPr>
        <w:ind w:left="1440" w:hanging="360"/>
      </w:pPr>
    </w:lvl>
    <w:lvl w:ilvl="2">
      <w:start w:val="1"/>
      <w:numFmt w:val="lowerLetter"/>
      <w:lvlText w:val="(%3)"/>
      <w:lvlJc w:val="left"/>
      <w:pPr>
        <w:ind w:left="2160" w:hanging="360"/>
      </w:pPr>
    </w:lvl>
    <w:lvl w:ilvl="3">
      <w:start w:val="1"/>
      <w:numFmt w:val="lowerLetter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Letter"/>
      <w:lvlText w:val="(%6)"/>
      <w:lvlJc w:val="left"/>
      <w:pPr>
        <w:ind w:left="4320" w:hanging="360"/>
      </w:pPr>
    </w:lvl>
    <w:lvl w:ilvl="6">
      <w:start w:val="1"/>
      <w:numFmt w:val="lowerLetter"/>
      <w:lvlText w:val="(%7)"/>
      <w:lvlJc w:val="left"/>
      <w:pPr>
        <w:ind w:left="5040" w:hanging="360"/>
      </w:pPr>
    </w:lvl>
    <w:lvl w:ilvl="7">
      <w:start w:val="1"/>
      <w:numFmt w:val="lowerLetter"/>
      <w:lvlText w:val="(%8)"/>
      <w:lvlJc w:val="left"/>
      <w:pPr>
        <w:ind w:left="5760" w:hanging="360"/>
      </w:pPr>
    </w:lvl>
    <w:lvl w:ilvl="8">
      <w:start w:val="1"/>
      <w:numFmt w:val="lowerLetter"/>
      <w:lvlText w:val="(%9)"/>
      <w:lvlJc w:val="left"/>
      <w:pPr>
        <w:ind w:left="6480" w:hanging="360"/>
      </w:pPr>
    </w:lvl>
  </w:abstractNum>
  <w:abstractNum w:abstractNumId="99732">
    <w:nsid w:val="00A99732"/>
    <w:multiLevelType w:val="multilevel"/>
    <w:lvl w:ilvl="0">
      <w:start w:val="2"/>
      <w:numFmt w:val="lowerLetter"/>
      <w:lvlText w:val="(%1)"/>
      <w:lvlJc w:val="left"/>
      <w:pPr>
        <w:ind w:left="720" w:hanging="360"/>
      </w:pPr>
    </w:lvl>
    <w:lvl w:ilvl="1">
      <w:start w:val="2"/>
      <w:numFmt w:val="lowerLetter"/>
      <w:lvlText w:val="(%2)"/>
      <w:lvlJc w:val="left"/>
      <w:pPr>
        <w:ind w:left="1440" w:hanging="360"/>
      </w:pPr>
    </w:lvl>
    <w:lvl w:ilvl="2">
      <w:start w:val="2"/>
      <w:numFmt w:val="lowerLetter"/>
      <w:lvlText w:val="(%3)"/>
      <w:lvlJc w:val="left"/>
      <w:pPr>
        <w:ind w:left="2160" w:hanging="360"/>
      </w:pPr>
    </w:lvl>
    <w:lvl w:ilvl="3">
      <w:start w:val="2"/>
      <w:numFmt w:val="lowerLetter"/>
      <w:lvlText w:val="(%4)"/>
      <w:lvlJc w:val="left"/>
      <w:pPr>
        <w:ind w:left="2880" w:hanging="360"/>
      </w:pPr>
    </w:lvl>
    <w:lvl w:ilvl="4">
      <w:start w:val="2"/>
      <w:numFmt w:val="lowerLetter"/>
      <w:lvlText w:val="(%5)"/>
      <w:lvlJc w:val="left"/>
      <w:pPr>
        <w:ind w:left="3600" w:hanging="360"/>
      </w:pPr>
    </w:lvl>
    <w:lvl w:ilvl="5">
      <w:start w:val="2"/>
      <w:numFmt w:val="lowerLetter"/>
      <w:lvlText w:val="(%6)"/>
      <w:lvlJc w:val="left"/>
      <w:pPr>
        <w:ind w:left="4320" w:hanging="360"/>
      </w:pPr>
    </w:lvl>
    <w:lvl w:ilvl="6">
      <w:start w:val="2"/>
      <w:numFmt w:val="lowerLetter"/>
      <w:lvlText w:val="(%7)"/>
      <w:lvlJc w:val="left"/>
      <w:pPr>
        <w:ind w:left="5040" w:hanging="360"/>
      </w:pPr>
    </w:lvl>
    <w:lvl w:ilvl="7">
      <w:start w:val="2"/>
      <w:numFmt w:val="lowerLetter"/>
      <w:lvlText w:val="(%8)"/>
      <w:lvlJc w:val="left"/>
      <w:pPr>
        <w:ind w:left="5760" w:hanging="360"/>
      </w:pPr>
    </w:lvl>
    <w:lvl w:ilvl="8">
      <w:start w:val="2"/>
      <w:numFmt w:val="lowerLetter"/>
      <w:lvlText w:val="(%9)"/>
      <w:lvlJc w:val="left"/>
      <w:pPr>
        <w:ind w:left="6480" w:hanging="360"/>
      </w:pPr>
    </w:lvl>
  </w:abstractNum>
  <w:abstractNum w:abstractNumId="99733">
    <w:nsid w:val="00A99733"/>
    <w:multiLevelType w:val="multilevel"/>
    <w:lvl w:ilvl="0">
      <w:start w:val="3"/>
      <w:numFmt w:val="lowerLetter"/>
      <w:lvlText w:val="(%1)"/>
      <w:lvlJc w:val="left"/>
      <w:pPr>
        <w:ind w:left="720" w:hanging="360"/>
      </w:pPr>
    </w:lvl>
    <w:lvl w:ilvl="1">
      <w:start w:val="3"/>
      <w:numFmt w:val="lowerLetter"/>
      <w:lvlText w:val="(%2)"/>
      <w:lvlJc w:val="left"/>
      <w:pPr>
        <w:ind w:left="1440" w:hanging="360"/>
      </w:pPr>
    </w:lvl>
    <w:lvl w:ilvl="2">
      <w:start w:val="3"/>
      <w:numFmt w:val="lowerLetter"/>
      <w:lvlText w:val="(%3)"/>
      <w:lvlJc w:val="left"/>
      <w:pPr>
        <w:ind w:left="2160" w:hanging="360"/>
      </w:pPr>
    </w:lvl>
    <w:lvl w:ilvl="3">
      <w:start w:val="3"/>
      <w:numFmt w:val="lowerLetter"/>
      <w:lvlText w:val="(%4)"/>
      <w:lvlJc w:val="left"/>
      <w:pPr>
        <w:ind w:left="2880" w:hanging="360"/>
      </w:pPr>
    </w:lvl>
    <w:lvl w:ilvl="4">
      <w:start w:val="3"/>
      <w:numFmt w:val="lowerLetter"/>
      <w:lvlText w:val="(%5)"/>
      <w:lvlJc w:val="left"/>
      <w:pPr>
        <w:ind w:left="3600" w:hanging="360"/>
      </w:pPr>
    </w:lvl>
    <w:lvl w:ilvl="5">
      <w:start w:val="3"/>
      <w:numFmt w:val="lowerLetter"/>
      <w:lvlText w:val="(%6)"/>
      <w:lvlJc w:val="left"/>
      <w:pPr>
        <w:ind w:left="4320" w:hanging="360"/>
      </w:pPr>
    </w:lvl>
    <w:lvl w:ilvl="6">
      <w:start w:val="3"/>
      <w:numFmt w:val="lowerLetter"/>
      <w:lvlText w:val="(%7)"/>
      <w:lvlJc w:val="left"/>
      <w:pPr>
        <w:ind w:left="5040" w:hanging="360"/>
      </w:pPr>
    </w:lvl>
    <w:lvl w:ilvl="7">
      <w:start w:val="3"/>
      <w:numFmt w:val="lowerLetter"/>
      <w:lvlText w:val="(%8)"/>
      <w:lvlJc w:val="left"/>
      <w:pPr>
        <w:ind w:left="5760" w:hanging="360"/>
      </w:pPr>
    </w:lvl>
    <w:lvl w:ilvl="8">
      <w:start w:val="3"/>
      <w:numFmt w:val="lowerLetter"/>
      <w:lvlText w:val="(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73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73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rPr>
      <w:rFonts w:ascii="Inter" w:hAnsi="Inter"/>
      <w:color w:val="1A1A1A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="Inter" w:asciiTheme="majorHAnsi" w:cstheme="majorBidi" w:eastAsiaTheme="majorEastAsia" w:hAnsi="Inter" w:hAnsiTheme="majorHAnsi"/>
      <w:b/>
      <w:bCs/>
      <w:color w:val="662E80"/>
      <w:sz w:val="44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="Inter" w:asciiTheme="majorHAnsi" w:cstheme="majorBidi" w:eastAsiaTheme="majorEastAsia" w:hAnsi="Inter" w:hAnsiTheme="majorHAnsi"/>
      <w:b/>
      <w:bCs/>
      <w:color w:val="662E80"/>
      <w:sz w:val="32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="Inter" w:asciiTheme="majorHAnsi" w:cstheme="majorBidi" w:eastAsiaTheme="majorEastAsia" w:hAnsi="Inter" w:hAnsiTheme="majorHAnsi"/>
      <w:b/>
      <w:bCs/>
      <w:color w:val="662E80"/>
      <w:sz w:val="26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2026-06-01T19:45:14Z</dcterms:created>
  <dcterms:modified xsi:type="dcterms:W3CDTF">2026-06-01T19:45:14Z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