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afety-measurement-unit-plan"/>
    <w:p>
      <w:pPr>
        <w:pStyle w:val="Heading1"/>
      </w:pPr>
      <w:r>
        <w:t xml:space="preserve">Safety &amp; Measurement — Unit Plan</w:t>
      </w:r>
    </w:p>
    <w:bookmarkStart w:id="9" w:name="cover"/>
    <w:p>
      <w:pPr>
        <w:pStyle w:val="Heading2"/>
      </w:pPr>
      <w:r>
        <w:t xml:space="preserve">Cover</w:t>
      </w:r>
    </w:p>
    <w:p>
      <w:pPr>
        <w:pStyle w:val="FirstParagraph"/>
      </w:pPr>
      <w:r>
        <w:rPr>
          <w:b/>
          <w:bCs/>
        </w:rPr>
        <w:t xml:space="preserve">Unit 1: Safety &amp; Measurement</w:t>
      </w:r>
      <w:r>
        <w:t xml:space="preserve"> </w:t>
      </w:r>
      <w:r>
        <w:t xml:space="preserve">East Meadow Schools × Valley Stream Central High School District</w:t>
      </w:r>
      <w:r>
        <w:t xml:space="preserve"> </w:t>
      </w:r>
      <w:r>
        <w:t xml:space="preserve">8 lessons · ~8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opening unit builds the foundational safety routines and quantitative skills — measurement, significant figures, dimensional analysis, density, gram formula mass, percent composition, and fluency with the 2025 NYS Chemistry Reference Tables — that every later HS-PS1 unit depends on. Students move from safe lab habits through increasingly sophisticated mathematical tools, arriving at the end of the unit prepared to apply those tools to any chemistry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Lab Safety</w:t>
            </w:r>
          </w:p>
        </w:tc>
        <w:tc>
          <w:tcPr/>
          <w:p>
            <w:pPr>
              <w:pStyle w:val="Compact"/>
            </w:pPr>
            <w:r>
              <w:t xml:space="preserve">Safe-investigation routines; PPE, SDS, hazards break the cause→effect chain</w:t>
            </w:r>
          </w:p>
        </w:tc>
      </w:tr>
      <w:tr>
        <w:tc>
          <w:tcPr/>
          <w:p>
            <w:pPr>
              <w:pStyle w:val="Compact"/>
            </w:pPr>
            <w:r>
              <w:t xml:space="preserve">02</w:t>
            </w:r>
          </w:p>
        </w:tc>
        <w:tc>
          <w:tcPr/>
          <w:p>
            <w:pPr>
              <w:pStyle w:val="Compact"/>
            </w:pPr>
            <w:r>
              <w:t xml:space="preserve">Measurement &amp; SI Units</w:t>
            </w:r>
          </w:p>
        </w:tc>
        <w:tc>
          <w:tcPr/>
          <w:p>
            <w:pPr>
              <w:pStyle w:val="Compact"/>
            </w:pPr>
            <w:r>
              <w:t xml:space="preserve">Measure with correct SI units and instruments; precision vs. accuracy</w:t>
            </w:r>
          </w:p>
        </w:tc>
      </w:tr>
      <w:tr>
        <w:tc>
          <w:tcPr/>
          <w:p>
            <w:pPr>
              <w:pStyle w:val="Compact"/>
            </w:pPr>
            <w:r>
              <w:t xml:space="preserve">03</w:t>
            </w:r>
          </w:p>
        </w:tc>
        <w:tc>
          <w:tcPr/>
          <w:p>
            <w:pPr>
              <w:pStyle w:val="Compact"/>
            </w:pPr>
            <w:r>
              <w:t xml:space="preserve">Significant Figures &amp; Scientific Notation</w:t>
            </w:r>
          </w:p>
        </w:tc>
        <w:tc>
          <w:tcPr/>
          <w:p>
            <w:pPr>
              <w:pStyle w:val="Compact"/>
            </w:pPr>
            <w:r>
              <w:t xml:space="preserve">Record only the digits a measurement justifies; write very large/small numbers compactly</w:t>
            </w:r>
          </w:p>
        </w:tc>
      </w:tr>
      <w:tr>
        <w:tc>
          <w:tcPr/>
          <w:p>
            <w:pPr>
              <w:pStyle w:val="Compact"/>
            </w:pPr>
            <w:r>
              <w:t xml:space="preserve">04</w:t>
            </w:r>
          </w:p>
        </w:tc>
        <w:tc>
          <w:tcPr/>
          <w:p>
            <w:pPr>
              <w:pStyle w:val="Compact"/>
            </w:pPr>
            <w:r>
              <w:t xml:space="preserve">Dimensional Analysis</w:t>
            </w:r>
          </w:p>
        </w:tc>
        <w:tc>
          <w:tcPr/>
          <w:p>
            <w:pPr>
              <w:pStyle w:val="Compact"/>
            </w:pPr>
            <w:r>
              <w:t xml:space="preserve">Convert across scales with conversion factors; units cancel</w:t>
            </w:r>
          </w:p>
        </w:tc>
      </w:tr>
      <w:tr>
        <w:tc>
          <w:tcPr/>
          <w:p>
            <w:pPr>
              <w:pStyle w:val="Compact"/>
            </w:pPr>
            <w:r>
              <w:t xml:space="preserve">05</w:t>
            </w:r>
          </w:p>
        </w:tc>
        <w:tc>
          <w:tcPr/>
          <w:p>
            <w:pPr>
              <w:pStyle w:val="Compact"/>
            </w:pPr>
            <w:r>
              <w:t xml:space="preserve">Density</w:t>
            </w:r>
          </w:p>
        </w:tc>
        <w:tc>
          <w:tcPr/>
          <w:p>
            <w:pPr>
              <w:pStyle w:val="Compact"/>
            </w:pPr>
            <w:r>
              <w:t xml:space="preserve">D = m/V; particle spacing explains why ice floats</w:t>
            </w:r>
          </w:p>
        </w:tc>
      </w:tr>
      <w:tr>
        <w:tc>
          <w:tcPr/>
          <w:p>
            <w:pPr>
              <w:pStyle w:val="Compact"/>
            </w:pPr>
            <w:r>
              <w:t xml:space="preserve">06</w:t>
            </w:r>
          </w:p>
        </w:tc>
        <w:tc>
          <w:tcPr/>
          <w:p>
            <w:pPr>
              <w:pStyle w:val="Compact"/>
            </w:pPr>
            <w:r>
              <w:t xml:space="preserve">Gram Formula Mass</w:t>
            </w:r>
          </w:p>
        </w:tc>
        <w:tc>
          <w:tcPr/>
          <w:p>
            <w:pPr>
              <w:pStyle w:val="Compact"/>
            </w:pPr>
            <w:r>
              <w:t xml:space="preserve">Sum atomic masses to get the mass of one mole</w:t>
            </w:r>
          </w:p>
        </w:tc>
      </w:tr>
      <w:tr>
        <w:tc>
          <w:tcPr/>
          <w:p>
            <w:pPr>
              <w:pStyle w:val="Compact"/>
            </w:pPr>
            <w:r>
              <w:t xml:space="preserve">07</w:t>
            </w:r>
          </w:p>
        </w:tc>
        <w:tc>
          <w:tcPr/>
          <w:p>
            <w:pPr>
              <w:pStyle w:val="Compact"/>
            </w:pPr>
            <w:r>
              <w:t xml:space="preserve">Percent Composition</w:t>
            </w:r>
          </w:p>
        </w:tc>
        <w:tc>
          <w:tcPr/>
          <w:p>
            <w:pPr>
              <w:pStyle w:val="Compact"/>
            </w:pPr>
            <w:r>
              <w:t xml:space="preserve">Each element’s share of a compound’s mass</w:t>
            </w:r>
          </w:p>
        </w:tc>
      </w:tr>
      <w:tr>
        <w:tc>
          <w:tcPr/>
          <w:p>
            <w:pPr>
              <w:pStyle w:val="Compact"/>
            </w:pPr>
            <w:r>
              <w:t xml:space="preserve">08</w:t>
            </w:r>
          </w:p>
        </w:tc>
        <w:tc>
          <w:tcPr/>
          <w:p>
            <w:pPr>
              <w:pStyle w:val="Compact"/>
            </w:pPr>
            <w:r>
              <w:t xml:space="preserve">Chemistry Reference Tables</w:t>
            </w:r>
          </w:p>
        </w:tc>
        <w:tc>
          <w:tcPr/>
          <w:p>
            <w:pPr>
              <w:pStyle w:val="Compact"/>
            </w:pPr>
            <w:r>
              <w:t xml:space="preserve">Navigate the 2025 NYS Reference Tables fluently; unit synthesis</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Lab Safety</w:t>
            </w:r>
          </w:p>
        </w:tc>
        <w:tc>
          <w:tcPr/>
          <w:p>
            <w:pPr>
              <w:pStyle w:val="Compact"/>
            </w:pPr>
            <w:r>
              <w:t xml:space="preserve">Safe vs. unsafe procedure — same splash, different outcome</w:t>
            </w:r>
          </w:p>
        </w:tc>
        <w:tc>
          <w:tcPr/>
          <w:p>
            <w:pPr>
              <w:pStyle w:val="Compact"/>
            </w:pPr>
            <w:r>
              <w:t xml:space="preserve">Restorative Circle (unit opener)</w:t>
            </w:r>
          </w:p>
        </w:tc>
      </w:tr>
      <w:tr>
        <w:tc>
          <w:tcPr/>
          <w:p>
            <w:pPr>
              <w:pStyle w:val="Compact"/>
            </w:pPr>
            <w:r>
              <w:t xml:space="preserve">2</w:t>
            </w:r>
          </w:p>
        </w:tc>
        <w:tc>
          <w:tcPr/>
          <w:p>
            <w:pPr>
              <w:pStyle w:val="Compact"/>
            </w:pPr>
            <w:r>
              <w:t xml:space="preserve">02 Measurement &amp; SI Units</w:t>
            </w:r>
          </w:p>
        </w:tc>
        <w:tc>
          <w:tcPr/>
          <w:p>
            <w:pPr>
              <w:pStyle w:val="Compact"/>
            </w:pPr>
            <w:r>
              <w:t xml:space="preserve">Mars Climate Orbiter lost to a unit mismatch</w:t>
            </w:r>
          </w:p>
        </w:tc>
        <w:tc>
          <w:tcPr/>
          <w:p>
            <w:pPr>
              <w:pStyle w:val="Compact"/>
            </w:pPr>
            <w:r>
              <w:t xml:space="preserve">Active Learning</w:t>
            </w:r>
          </w:p>
        </w:tc>
      </w:tr>
      <w:tr>
        <w:tc>
          <w:tcPr/>
          <w:p>
            <w:pPr>
              <w:pStyle w:val="Compact"/>
            </w:pPr>
            <w:r>
              <w:t xml:space="preserve">3</w:t>
            </w:r>
          </w:p>
        </w:tc>
        <w:tc>
          <w:tcPr/>
          <w:p>
            <w:pPr>
              <w:pStyle w:val="Compact"/>
            </w:pPr>
            <w:r>
              <w:t xml:space="preserve">03 Sig Figs &amp; Scientific Notation</w:t>
            </w:r>
          </w:p>
        </w:tc>
        <w:tc>
          <w:tcPr/>
          <w:p>
            <w:pPr>
              <w:pStyle w:val="Compact"/>
            </w:pPr>
            <w:r>
              <w:t xml:space="preserve">One pencil measured three ways; calculator over-precision</w:t>
            </w:r>
          </w:p>
        </w:tc>
        <w:tc>
          <w:tcPr/>
          <w:p>
            <w:pPr>
              <w:pStyle w:val="Compact"/>
            </w:pPr>
            <w:r>
              <w:t xml:space="preserve">BTC</w:t>
            </w:r>
          </w:p>
        </w:tc>
      </w:tr>
      <w:tr>
        <w:tc>
          <w:tcPr/>
          <w:p>
            <w:pPr>
              <w:pStyle w:val="Compact"/>
            </w:pPr>
            <w:r>
              <w:t xml:space="preserve">4</w:t>
            </w:r>
          </w:p>
        </w:tc>
        <w:tc>
          <w:tcPr/>
          <w:p>
            <w:pPr>
              <w:pStyle w:val="Compact"/>
            </w:pPr>
            <w:r>
              <w:t xml:space="preserve">04 Dimensional Analysis</w:t>
            </w:r>
          </w:p>
        </w:tc>
        <w:tc>
          <w:tcPr/>
          <w:p>
            <w:pPr>
              <w:pStyle w:val="Compact"/>
            </w:pPr>
            <w:r>
              <w:t xml:space="preserve">How many atoms in a copper penny?</w:t>
            </w:r>
          </w:p>
        </w:tc>
        <w:tc>
          <w:tcPr/>
          <w:p>
            <w:pPr>
              <w:pStyle w:val="Compact"/>
            </w:pPr>
            <w:r>
              <w:t xml:space="preserve">Hochman</w:t>
            </w:r>
          </w:p>
        </w:tc>
      </w:tr>
      <w:tr>
        <w:tc>
          <w:tcPr/>
          <w:p>
            <w:pPr>
              <w:pStyle w:val="Compact"/>
            </w:pPr>
            <w:r>
              <w:t xml:space="preserve">5</w:t>
            </w:r>
          </w:p>
        </w:tc>
        <w:tc>
          <w:tcPr/>
          <w:p>
            <w:pPr>
              <w:pStyle w:val="Compact"/>
            </w:pPr>
            <w:r>
              <w:t xml:space="preserve">05 Density</w:t>
            </w:r>
          </w:p>
        </w:tc>
        <w:tc>
          <w:tcPr/>
          <w:p>
            <w:pPr>
              <w:pStyle w:val="Compact"/>
            </w:pPr>
            <w:r>
              <w:t xml:space="preserve">Ice floats; lakes freeze top-down</w:t>
            </w:r>
          </w:p>
        </w:tc>
        <w:tc>
          <w:tcPr/>
          <w:p>
            <w:pPr>
              <w:pStyle w:val="Compact"/>
            </w:pPr>
            <w:r>
              <w:t xml:space="preserve">Active Learning</w:t>
            </w:r>
          </w:p>
        </w:tc>
      </w:tr>
      <w:tr>
        <w:tc>
          <w:tcPr/>
          <w:p>
            <w:pPr>
              <w:pStyle w:val="Compact"/>
            </w:pPr>
            <w:r>
              <w:t xml:space="preserve">6</w:t>
            </w:r>
          </w:p>
        </w:tc>
        <w:tc>
          <w:tcPr/>
          <w:p>
            <w:pPr>
              <w:pStyle w:val="Compact"/>
            </w:pPr>
            <w:r>
              <w:t xml:space="preserve">06 Gram Formula Mass</w:t>
            </w:r>
          </w:p>
        </w:tc>
        <w:tc>
          <w:tcPr/>
          <w:p>
            <w:pPr>
              <w:pStyle w:val="Compact"/>
            </w:pPr>
            <w:r>
              <w:t xml:space="preserve">Equal counts of atoms, unequal masses (C vs Au)</w:t>
            </w:r>
          </w:p>
        </w:tc>
        <w:tc>
          <w:tcPr/>
          <w:p>
            <w:pPr>
              <w:pStyle w:val="Compact"/>
            </w:pPr>
            <w:r>
              <w:t xml:space="preserve">Hochman</w:t>
            </w:r>
          </w:p>
        </w:tc>
      </w:tr>
      <w:tr>
        <w:tc>
          <w:tcPr/>
          <w:p>
            <w:pPr>
              <w:pStyle w:val="Compact"/>
            </w:pPr>
            <w:r>
              <w:t xml:space="preserve">7</w:t>
            </w:r>
          </w:p>
        </w:tc>
        <w:tc>
          <w:tcPr/>
          <w:p>
            <w:pPr>
              <w:pStyle w:val="Compact"/>
            </w:pPr>
            <w:r>
              <w:t xml:space="preserve">07 Percent Composition</w:t>
            </w:r>
          </w:p>
        </w:tc>
        <w:tc>
          <w:tcPr/>
          <w:p>
            <w:pPr>
              <w:pStyle w:val="Compact"/>
            </w:pPr>
            <w:r>
              <w:t xml:space="preserve">Two fertilizers, different % nitrogen</w:t>
            </w:r>
          </w:p>
        </w:tc>
        <w:tc>
          <w:tcPr/>
          <w:p>
            <w:pPr>
              <w:pStyle w:val="Compact"/>
            </w:pPr>
            <w:r>
              <w:t xml:space="preserve">BTC</w:t>
            </w:r>
          </w:p>
        </w:tc>
      </w:tr>
      <w:tr>
        <w:tc>
          <w:tcPr/>
          <w:p>
            <w:pPr>
              <w:pStyle w:val="Compact"/>
            </w:pPr>
            <w:r>
              <w:t xml:space="preserve">8</w:t>
            </w:r>
          </w:p>
        </w:tc>
        <w:tc>
          <w:tcPr/>
          <w:p>
            <w:pPr>
              <w:pStyle w:val="Compact"/>
            </w:pPr>
            <w:r>
              <w:t xml:space="preserve">08 Chemistry Reference Tables</w:t>
            </w:r>
          </w:p>
        </w:tc>
        <w:tc>
          <w:tcPr/>
          <w:p>
            <w:pPr>
              <w:pStyle w:val="Compact"/>
            </w:pPr>
            <w:r>
              <w:t xml:space="preserve">Same Regents booklet, very different outcomes</w:t>
            </w:r>
          </w:p>
        </w:tc>
        <w:tc>
          <w:tcPr/>
          <w:p>
            <w:pPr>
              <w:pStyle w:val="Compact"/>
            </w:pPr>
            <w:r>
              <w:t xml:space="preserve">Active Learning</w:t>
            </w:r>
          </w:p>
        </w:tc>
      </w:tr>
    </w:tbl>
    <w:p>
      <w:pPr>
        <w:pStyle w:val="BodyText"/>
      </w:pPr>
      <w:r>
        <w:t xml:space="preserve">Double-period days (every other day) let the density and percent-composition labs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(unit-opening circle).</w:t>
      </w:r>
    </w:p>
    <w:p>
      <w:pPr>
        <w:pStyle w:val="Compact"/>
        <w:numPr>
          <w:ilvl w:val="0"/>
          <w:numId w:val="1001"/>
        </w:numPr>
      </w:pPr>
      <w:r>
        <w:rPr>
          <w:b/>
          <w:bCs/>
        </w:rPr>
        <w:t xml:space="preserve">ACTIVE LEARNING</w:t>
      </w:r>
      <w:r>
        <w:t xml:space="preserve">: Lessons 02, 05, 08 (measurement stations; density lab; reference-tables stations).</w:t>
      </w:r>
    </w:p>
    <w:p>
      <w:pPr>
        <w:pStyle w:val="Compact"/>
        <w:numPr>
          <w:ilvl w:val="0"/>
          <w:numId w:val="1001"/>
        </w:numPr>
      </w:pPr>
      <w:r>
        <w:rPr>
          <w:b/>
          <w:bCs/>
        </w:rPr>
        <w:t xml:space="preserve">BTC (Building Thinking Classrooms)</w:t>
      </w:r>
      <w:r>
        <w:t xml:space="preserve">: Lessons 03, 07 (sig-fig and percent-composition thin-slices at vertical surfaces).</w:t>
      </w:r>
    </w:p>
    <w:p>
      <w:pPr>
        <w:pStyle w:val="Compact"/>
        <w:numPr>
          <w:ilvl w:val="0"/>
          <w:numId w:val="1001"/>
        </w:numPr>
      </w:pPr>
      <w:r>
        <w:rPr>
          <w:b/>
          <w:bCs/>
        </w:rPr>
        <w:t xml:space="preserve">HOCHMAN (literacy)</w:t>
      </w:r>
      <w:r>
        <w:t xml:space="preserve">: Lessons 04, 06 (Because/But/So on unit cancellation; appositive defining gram formula mass).</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HS-PS1-7</w:t>
            </w:r>
          </w:p>
        </w:tc>
        <w:tc>
          <w:tcPr/>
          <w:p>
            <w:pPr>
              <w:pStyle w:val="Compact"/>
            </w:pPr>
            <w:r>
              <w:t xml:space="preserve">Mathematical representations; mole ↔ macroscopic/atomic scale</w:t>
            </w:r>
          </w:p>
        </w:tc>
        <w:tc>
          <w:tcPr/>
          <w:p>
            <w:pPr>
              <w:pStyle w:val="Compact"/>
            </w:pPr>
            <w:r>
              <w:t xml:space="preserve">02, 04</w:t>
            </w:r>
          </w:p>
        </w:tc>
      </w:tr>
      <w:tr>
        <w:tc>
          <w:tcPr/>
          <w:p>
            <w:pPr>
              <w:pStyle w:val="Compact"/>
            </w:pPr>
            <w:r>
              <w:t xml:space="preserve">HS-PS1-2</w:t>
            </w:r>
          </w:p>
        </w:tc>
        <w:tc>
          <w:tcPr/>
          <w:p>
            <w:pPr>
              <w:pStyle w:val="Compact"/>
            </w:pPr>
            <w:r>
              <w:t xml:space="preserve">Molar mass / gram formula mass of reaction components</w:t>
            </w:r>
          </w:p>
        </w:tc>
        <w:tc>
          <w:tcPr/>
          <w:p>
            <w:pPr>
              <w:pStyle w:val="Compact"/>
            </w:pPr>
            <w:r>
              <w:t xml:space="preserve">06, 07</w:t>
            </w:r>
          </w:p>
        </w:tc>
      </w:tr>
      <w:tr>
        <w:tc>
          <w:tcPr/>
          <w:p>
            <w:pPr>
              <w:pStyle w:val="Compact"/>
            </w:pPr>
            <w:r>
              <w:t xml:space="preserve">HS-PS2-6</w:t>
            </w:r>
          </w:p>
        </w:tc>
        <w:tc>
          <w:tcPr/>
          <w:p>
            <w:pPr>
              <w:pStyle w:val="Compact"/>
            </w:pPr>
            <w:r>
              <w:t xml:space="preserve">Molecular-level structure → material function (density)</w:t>
            </w:r>
          </w:p>
        </w:tc>
        <w:tc>
          <w:tcPr/>
          <w:p>
            <w:pPr>
              <w:pStyle w:val="Compact"/>
            </w:pPr>
            <w:r>
              <w:t xml:space="preserve">05</w:t>
            </w:r>
          </w:p>
        </w:tc>
      </w:tr>
      <w:tr>
        <w:tc>
          <w:tcPr/>
          <w:p>
            <w:pPr>
              <w:pStyle w:val="Compact"/>
            </w:pPr>
            <w:r>
              <w:t xml:space="preserve">Foundational (SEP)</w:t>
            </w:r>
          </w:p>
        </w:tc>
        <w:tc>
          <w:tcPr/>
          <w:p>
            <w:pPr>
              <w:pStyle w:val="Compact"/>
            </w:pPr>
            <w:r>
              <w:t xml:space="preserve">Safe investigation; precision/sig figs; obtaining &amp; using information (reference tables)</w:t>
            </w:r>
          </w:p>
        </w:tc>
        <w:tc>
          <w:tcPr/>
          <w:p>
            <w:pPr>
              <w:pStyle w:val="Compact"/>
            </w:pPr>
            <w:r>
              <w:t xml:space="preserve">01, 03, 08</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SDS · PPE · hazard</w:t>
            </w:r>
          </w:p>
        </w:tc>
      </w:tr>
      <w:tr>
        <w:tc>
          <w:tcPr/>
          <w:p>
            <w:pPr>
              <w:pStyle w:val="Compact"/>
            </w:pPr>
            <w:r>
              <w:t xml:space="preserve">02</w:t>
            </w:r>
          </w:p>
        </w:tc>
        <w:tc>
          <w:tcPr/>
          <w:p>
            <w:pPr>
              <w:pStyle w:val="Compact"/>
            </w:pPr>
            <w:r>
              <w:t xml:space="preserve">SI unit · precision · accuracy</w:t>
            </w:r>
          </w:p>
        </w:tc>
      </w:tr>
      <w:tr>
        <w:tc>
          <w:tcPr/>
          <w:p>
            <w:pPr>
              <w:pStyle w:val="Compact"/>
            </w:pPr>
            <w:r>
              <w:t xml:space="preserve">03</w:t>
            </w:r>
          </w:p>
        </w:tc>
        <w:tc>
          <w:tcPr/>
          <w:p>
            <w:pPr>
              <w:pStyle w:val="Compact"/>
            </w:pPr>
            <w:r>
              <w:t xml:space="preserve">significant figures · scientific notation · precision</w:t>
            </w:r>
          </w:p>
        </w:tc>
      </w:tr>
      <w:tr>
        <w:tc>
          <w:tcPr/>
          <w:p>
            <w:pPr>
              <w:pStyle w:val="Compact"/>
            </w:pPr>
            <w:r>
              <w:t xml:space="preserve">04</w:t>
            </w:r>
          </w:p>
        </w:tc>
        <w:tc>
          <w:tcPr/>
          <w:p>
            <w:pPr>
              <w:pStyle w:val="Compact"/>
            </w:pPr>
            <w:r>
              <w:t xml:space="preserve">conversion factor · dimensional analysis · metric prefix</w:t>
            </w:r>
          </w:p>
        </w:tc>
      </w:tr>
      <w:tr>
        <w:tc>
          <w:tcPr/>
          <w:p>
            <w:pPr>
              <w:pStyle w:val="Compact"/>
            </w:pPr>
            <w:r>
              <w:t xml:space="preserve">05</w:t>
            </w:r>
          </w:p>
        </w:tc>
        <w:tc>
          <w:tcPr/>
          <w:p>
            <w:pPr>
              <w:pStyle w:val="Compact"/>
            </w:pPr>
            <w:r>
              <w:t xml:space="preserve">density · mass · volume</w:t>
            </w:r>
          </w:p>
        </w:tc>
      </w:tr>
      <w:tr>
        <w:tc>
          <w:tcPr/>
          <w:p>
            <w:pPr>
              <w:pStyle w:val="Compact"/>
            </w:pPr>
            <w:r>
              <w:t xml:space="preserve">06</w:t>
            </w:r>
          </w:p>
        </w:tc>
        <w:tc>
          <w:tcPr/>
          <w:p>
            <w:pPr>
              <w:pStyle w:val="Compact"/>
            </w:pPr>
            <w:r>
              <w:t xml:space="preserve">gram formula mass · molar mass · mole</w:t>
            </w:r>
          </w:p>
        </w:tc>
      </w:tr>
      <w:tr>
        <w:tc>
          <w:tcPr/>
          <w:p>
            <w:pPr>
              <w:pStyle w:val="Compact"/>
            </w:pPr>
            <w:r>
              <w:t xml:space="preserve">07</w:t>
            </w:r>
          </w:p>
        </w:tc>
        <w:tc>
          <w:tcPr/>
          <w:p>
            <w:pPr>
              <w:pStyle w:val="Compact"/>
            </w:pPr>
            <w:r>
              <w:t xml:space="preserve">percent composition · gram formula mass · mass ratio</w:t>
            </w:r>
          </w:p>
        </w:tc>
      </w:tr>
      <w:tr>
        <w:tc>
          <w:tcPr/>
          <w:p>
            <w:pPr>
              <w:pStyle w:val="Compact"/>
            </w:pPr>
            <w:r>
              <w:t xml:space="preserve">08</w:t>
            </w:r>
          </w:p>
        </w:tc>
        <w:tc>
          <w:tcPr/>
          <w:p>
            <w:pPr>
              <w:pStyle w:val="Compact"/>
            </w:pPr>
            <w:r>
              <w:t xml:space="preserve">reference table · STP · density</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2026-06-01T19:45:12Z</dcterms:created>
  <dcterms:modified xsi:type="dcterms:W3CDTF">2026-06-01T19:45:12Z</dcterms:modified>
</cp:coreProperties>
</file>

<file path=docProps/custom.xml><?xml version="1.0" encoding="utf-8"?>
<Properties xmlns="http://schemas.openxmlformats.org/officeDocument/2006/custom-properties" xmlns:vt="http://schemas.openxmlformats.org/officeDocument/2006/docPropsVTypes"/>
</file>