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evolution-of-the-atomic-model-answer-key"/>
    <w:p>
      <w:pPr>
        <w:pStyle w:val="Heading1"/>
      </w:pPr>
      <w:r>
        <w:t xml:space="preserve">Evolution of the Atomic Model — Answer Key</w:t>
      </w:r>
    </w:p>
    <w:bookmarkStart w:id="9" w:name="cover"/>
    <w:p>
      <w:pPr>
        <w:pStyle w:val="Heading2"/>
      </w:pPr>
      <w:r>
        <w:t xml:space="preserve">Cover</w:t>
      </w:r>
    </w:p>
    <w:p>
      <w:pPr>
        <w:pStyle w:val="FirstParagraph"/>
      </w:pPr>
      <w:r>
        <w:t xml:space="preserve">Unit: Atomic Concepts — Lesson 01: Evolution of the Atomic Model</w:t>
      </w:r>
      <w:r>
        <w:t xml:space="preserve"> </w:t>
      </w:r>
      <w:r>
        <w:t xml:space="preserve">East Meadow Schools × Valley Stream Central High School District</w:t>
      </w:r>
      <w:r>
        <w:t xml:space="preserve"> </w:t>
      </w:r>
      <w:r>
        <w:t xml:space="preserve">NYSSLS tag: HS-PS1-1 (foundation) · SEP-2 / SEP-7 (models &amp; argument from evidence)</w:t>
      </w:r>
    </w:p>
    <w:bookmarkEnd w:id="9"/>
    <w:bookmarkStart w:id="10" w:name="make-it-make-sense-answers"/>
    <w:p>
      <w:pPr>
        <w:pStyle w:val="Heading2"/>
      </w:pPr>
      <w:r>
        <w:t xml:space="preserve">Make-It-Make-Sense Answers</w:t>
      </w:r>
    </w:p>
    <w:p>
      <w:pPr>
        <w:pStyle w:val="FirstParagraph"/>
      </w:pPr>
      <w:r>
        <w:rPr>
          <w:b/>
          <w:bCs/>
        </w:rPr>
        <w:t xml:space="preserve">1. The vast majority of alpha particles pass straight through with no deflection.</w:t>
      </w:r>
    </w:p>
    <w:p>
      <w:pPr>
        <w:pStyle w:val="Compact"/>
        <w:numPr>
          <w:ilvl w:val="0"/>
          <w:numId w:val="1001"/>
        </w:numPr>
      </w:pPr>
      <w:r>
        <w:rPr>
          <w:b/>
          <w:bCs/>
        </w:rPr>
        <w:t xml:space="preserve">The atom is mostly:</w:t>
      </w:r>
      <w:r>
        <w:t xml:space="preserve"> </w:t>
      </w:r>
      <w:r>
        <w:t xml:space="preserve">empty space.</w:t>
      </w:r>
    </w:p>
    <w:p>
      <w:pPr>
        <w:pStyle w:val="Compact"/>
        <w:numPr>
          <w:ilvl w:val="0"/>
          <w:numId w:val="1001"/>
        </w:numPr>
      </w:pPr>
      <w:r>
        <w:rPr>
          <w:b/>
          <w:bCs/>
        </w:rPr>
        <w:t xml:space="preserve">Reasoning:</w:t>
      </w:r>
      <w:r>
        <w:t xml:space="preserve"> </w:t>
      </w:r>
      <w:r>
        <w:t xml:space="preserve">If atoms were solid, evenly-filled blobs, the particles would constantly collide and deflect. Because almost all of them sail straight through untouched, most of the atom’s volume must contain nothing solid for the particle to hit — the atom is mostly empty space, with its matter concentrated in a very small region. ·</w:t>
      </w:r>
      <w:r>
        <w:t xml:space="preserve"> </w:t>
      </w:r>
      <w:r>
        <w:rPr>
          <w:i/>
          <w:iCs/>
        </w:rPr>
        <w:t xml:space="preserve">Rubric:</w:t>
      </w:r>
      <w:r>
        <w:t xml:space="preserve"> </w:t>
      </w:r>
      <w:r>
        <w:t xml:space="preserve">“empty space”</w:t>
      </w:r>
      <w:r>
        <w:t xml:space="preserve"> </w:t>
      </w:r>
      <w:r>
        <w:t xml:space="preserve">AND a reason tied to the</w:t>
      </w:r>
      <w:r>
        <w:t xml:space="preserve"> </w:t>
      </w:r>
      <w:r>
        <w:t xml:space="preserve">“straight through”</w:t>
      </w:r>
      <w:r>
        <w:t xml:space="preserve"> </w:t>
      </w:r>
      <w:r>
        <w:t xml:space="preserve">evidence → full credit;</w:t>
      </w:r>
      <w:r>
        <w:t xml:space="preserve"> </w:t>
      </w:r>
      <w:r>
        <w:t xml:space="preserve">“empty space”</w:t>
      </w:r>
      <w:r>
        <w:t xml:space="preserve"> </w:t>
      </w:r>
      <w:r>
        <w:t xml:space="preserve">with no reasoning → partial. NYSSLS: HS-PS1-1 / SEP-7.</w:t>
      </w:r>
    </w:p>
    <w:p>
      <w:pPr>
        <w:pStyle w:val="FirstParagraph"/>
      </w:pPr>
      <w:r>
        <w:rPr>
          <w:b/>
          <w:bCs/>
        </w:rPr>
        <w:t xml:space="preserve">2. A very small number of alpha particles bounce almost straight back.</w:t>
      </w:r>
    </w:p>
    <w:p>
      <w:pPr>
        <w:pStyle w:val="Compact"/>
        <w:numPr>
          <w:ilvl w:val="0"/>
          <w:numId w:val="1002"/>
        </w:numPr>
      </w:pPr>
      <w:r>
        <w:rPr>
          <w:b/>
          <w:bCs/>
        </w:rPr>
        <w:t xml:space="preserve">There is a</w:t>
      </w:r>
      <w:r>
        <w:t xml:space="preserve"> </w:t>
      </w:r>
      <w:r>
        <w:t xml:space="preserve">nucleus (a tiny, dense, positively-charged core)</w:t>
      </w:r>
      <w:r>
        <w:t xml:space="preserve"> </w:t>
      </w:r>
      <w:r>
        <w:rPr>
          <w:b/>
          <w:bCs/>
        </w:rPr>
        <w:t xml:space="preserve">inside the atom.</w:t>
      </w:r>
    </w:p>
    <w:p>
      <w:pPr>
        <w:pStyle w:val="Compact"/>
        <w:numPr>
          <w:ilvl w:val="0"/>
          <w:numId w:val="1002"/>
        </w:numPr>
      </w:pPr>
      <w:r>
        <w:rPr>
          <w:b/>
          <w:bCs/>
        </w:rPr>
        <w:t xml:space="preserve">Reasoning:</w:t>
      </w:r>
      <w:r>
        <w:t xml:space="preserve"> </w:t>
      </w:r>
      <w:r>
        <w:t xml:space="preserve">a positive particle bounces straight back only if it hits something that is</w:t>
      </w:r>
      <w:r>
        <w:t xml:space="preserve"> </w:t>
      </w:r>
      <w:r>
        <w:rPr>
          <w:b/>
          <w:bCs/>
        </w:rPr>
        <w:t xml:space="preserve">small, very dense, and also positively charged</w:t>
      </w:r>
      <w:r>
        <w:t xml:space="preserve"> </w:t>
      </w:r>
      <w:r>
        <w:t xml:space="preserve">(like charges repel). A bounce-back this strong is impossible against soft, spread-out pudding; it requires the positive charge to be packed into a tiny, massive core. ·</w:t>
      </w:r>
      <w:r>
        <w:t xml:space="preserve"> </w:t>
      </w:r>
      <w:r>
        <w:rPr>
          <w:i/>
          <w:iCs/>
        </w:rPr>
        <w:t xml:space="preserve">Rubric:</w:t>
      </w:r>
      <w:r>
        <w:t xml:space="preserve"> </w:t>
      </w:r>
      <w:r>
        <w:t xml:space="preserve">names a small/dense/positive core (nucleus) AND explains the like-charge repulsion or</w:t>
      </w:r>
      <w:r>
        <w:t xml:space="preserve"> </w:t>
      </w:r>
      <w:r>
        <w:t xml:space="preserve">“dense enough to repel”</w:t>
      </w:r>
      <w:r>
        <w:t xml:space="preserve"> </w:t>
      </w:r>
      <w:r>
        <w:t xml:space="preserve">→ full credit;</w:t>
      </w:r>
      <w:r>
        <w:t xml:space="preserve"> </w:t>
      </w:r>
      <w:r>
        <w:t xml:space="preserve">“something hard in the middle”</w:t>
      </w:r>
      <w:r>
        <w:t xml:space="preserve"> </w:t>
      </w:r>
      <w:r>
        <w:t xml:space="preserve">without the charge/density idea → partial. NYSSLS: HS-PS1-1 / SEP-7.</w:t>
      </w:r>
    </w:p>
    <w:p>
      <w:pPr>
        <w:pStyle w:val="FirstParagraph"/>
      </w:pPr>
      <w:r>
        <w:rPr>
          <w:b/>
          <w:bCs/>
        </w:rPr>
        <w:t xml:space="preserve">3. The plum-pudding model could not explain the bounce-backs, so scientists replaced it.</w:t>
      </w:r>
    </w:p>
    <w:p>
      <w:pPr>
        <w:pStyle w:val="Compact"/>
        <w:numPr>
          <w:ilvl w:val="0"/>
          <w:numId w:val="1003"/>
        </w:numPr>
      </w:pPr>
      <w:r>
        <w:rPr>
          <w:b/>
          <w:bCs/>
        </w:rPr>
        <w:t xml:space="preserve">What this tells you about models:</w:t>
      </w:r>
      <w:r>
        <w:t xml:space="preserve"> </w:t>
      </w:r>
      <w:r>
        <w:t xml:space="preserve">a scientific model is only kept as long as it explains all the evidence. When a model makes a prediction that the data contradicts (pudding predicts no bounce-backs; the data shows bounce-backs), scientists revise or replace it. Evidence — not preference or authority — drives the change. (Stability and Change.)</w:t>
      </w:r>
    </w:p>
    <w:p>
      <w:pPr>
        <w:pStyle w:val="Compact"/>
        <w:numPr>
          <w:ilvl w:val="0"/>
          <w:numId w:val="1003"/>
        </w:numPr>
      </w:pPr>
      <w:r>
        <w:rPr>
          <w:b/>
          <w:bCs/>
        </w:rPr>
        <w:t xml:space="preserve">Why not keep it anyway:</w:t>
      </w:r>
      <w:r>
        <w:t xml:space="preserve"> </w:t>
      </w:r>
      <w:r>
        <w:t xml:space="preserve">because a model that contradicts the evidence has been shown to be wrong about the structure; keeping it would mean ignoring real data. Science improves the model to fit the new evidence. ·</w:t>
      </w:r>
      <w:r>
        <w:t xml:space="preserve"> </w:t>
      </w:r>
      <w:r>
        <w:rPr>
          <w:i/>
          <w:iCs/>
        </w:rPr>
        <w:t xml:space="preserve">Rubric:</w:t>
      </w:r>
      <w:r>
        <w:t xml:space="preserve"> </w:t>
      </w:r>
      <w:r>
        <w:t xml:space="preserve">full credit for connecting</w:t>
      </w:r>
      <w:r>
        <w:t xml:space="preserve"> </w:t>
      </w:r>
      <w:r>
        <w:t xml:space="preserve">“model is replaced when it cannot explain new evidence”</w:t>
      </w:r>
      <w:r>
        <w:t xml:space="preserve"> </w:t>
      </w:r>
      <w:r>
        <w:t xml:space="preserve">to the gold-foil result; partial credit for</w:t>
      </w:r>
      <w:r>
        <w:t xml:space="preserve"> </w:t>
      </w:r>
      <w:r>
        <w:t xml:space="preserve">“it was wrong”</w:t>
      </w:r>
      <w:r>
        <w:t xml:space="preserve"> </w:t>
      </w:r>
      <w:r>
        <w:t xml:space="preserve">without the evidence link. NYSSLS: HS-PS1-1 / SEP-2.</w:t>
      </w:r>
    </w:p>
    <w:p>
      <w:pPr>
        <w:pStyle w:val="FirstParagraph"/>
      </w:pPr>
      <w:r>
        <w:rPr>
          <w:i/>
          <w:iCs/>
        </w:rPr>
        <w:t xml:space="preserve">Scale check (Investigation Part 1, for reference):</w:t>
      </w:r>
      <w:r>
        <w:t xml:space="preserve"> </w:t>
      </w:r>
      <w:r>
        <w:t xml:space="preserve">Pinhead 1 × 10⁻³ m; hair 1 × 10⁻⁴ m; atom 1 × 10⁻¹⁰ m; nucleus 1 × 10⁻¹⁴ m. Hair to atom ≈ 6 powers of ten (a million times smaller). Atom vs. nucleus ≈ 10⁴ (ten thousand times larger across) → the atom is almost entirely empty space.</w:t>
      </w:r>
    </w:p>
    <w:bookmarkEnd w:id="10"/>
    <w:bookmarkStart w:id="11" w:name="exit-ticket-answer"/>
    <w:p>
      <w:pPr>
        <w:pStyle w:val="Heading2"/>
      </w:pPr>
      <w:r>
        <w:t xml:space="preserve">Exit Ticket Answer</w:t>
      </w:r>
    </w:p>
    <w:p>
      <w:pPr>
        <w:pStyle w:val="FirstParagraph"/>
      </w:pPr>
      <w:r>
        <w:rPr>
          <w:b/>
          <w:bCs/>
        </w:rPr>
        <w:t xml:space="preserve">(a) Aluminum foil — even more large-angle bounce-backs than gold:</w:t>
      </w:r>
    </w:p>
    <w:p>
      <w:pPr>
        <w:pStyle w:val="BodyText"/>
      </w:pPr>
      <w:r>
        <w:rPr>
          <w:i/>
          <w:iCs/>
        </w:rPr>
        <w:t xml:space="preserve">Full-credit model answer:</w:t>
      </w:r>
      <w:r>
        <w:t xml:space="preserve"> </w:t>
      </w:r>
      <w:r>
        <w:t xml:space="preserve">She can conclude that aluminum atoms also have a tiny, dense, positively-charged nucleus — the bounce-backs prove a concentrated positive core (the same conclusion Rutherford reached for gold). The fact that she could repeat the experiment with a</w:t>
      </w:r>
      <w:r>
        <w:t xml:space="preserve"> </w:t>
      </w:r>
      <w:r>
        <w:rPr>
          <w:i/>
          <w:iCs/>
        </w:rPr>
        <w:t xml:space="preserve">new</w:t>
      </w:r>
      <w:r>
        <w:t xml:space="preserve"> </w:t>
      </w:r>
      <w:r>
        <w:t xml:space="preserve">element and use the deflection pattern to draw a conclusion about structure shows that evidence drives the model: the model of the nuclear atom holds because independent experiments keep producing data that fit it.</w:t>
      </w:r>
    </w:p>
    <w:p>
      <w:pPr>
        <w:pStyle w:val="BodyText"/>
      </w:pPr>
      <w:r>
        <w:rPr>
          <w:i/>
          <w:iCs/>
        </w:rPr>
        <w:t xml:space="preserve">Note on the</w:t>
      </w:r>
      <w:r>
        <w:rPr>
          <w:i/>
          <w:iCs/>
        </w:rPr>
        <w:t xml:space="preserve"> </w:t>
      </w:r>
      <w:r>
        <w:rPr>
          <w:i/>
          <w:iCs/>
        </w:rPr>
        <w:t xml:space="preserve">“even more”</w:t>
      </w:r>
      <w:r>
        <w:rPr>
          <w:i/>
          <w:iCs/>
        </w:rPr>
        <w:t xml:space="preserve"> </w:t>
      </w:r>
      <w:r>
        <w:rPr>
          <w:i/>
          <w:iCs/>
        </w:rPr>
        <w:t xml:space="preserve">detail:</w:t>
      </w:r>
      <w:r>
        <w:t xml:space="preserve"> </w:t>
      </w:r>
      <w:r>
        <w:t xml:space="preserve">Students are NOT expected to explain</w:t>
      </w:r>
      <w:r>
        <w:t xml:space="preserve"> </w:t>
      </w:r>
      <w:r>
        <w:rPr>
          <w:i/>
          <w:iCs/>
        </w:rPr>
        <w:t xml:space="preserve">why</w:t>
      </w:r>
      <w:r>
        <w:t xml:space="preserve"> </w:t>
      </w:r>
      <w:r>
        <w:t xml:space="preserve">the number differs (it relates to nuclear charge, a later topic). Full credit requires only that they (i) conclude aluminum has a nucleus and (ii) connect the repeatable deflection evidence to the idea that data, not authority, supports the model.</w:t>
      </w:r>
      <w:r>
        <w:t xml:space="preserve"> </w:t>
      </w:r>
      <w:r>
        <w:rPr>
          <w:i/>
          <w:iCs/>
        </w:rPr>
        <w:t xml:space="preserve">Rubric:</w:t>
      </w:r>
      <w:r>
        <w:t xml:space="preserve"> </w:t>
      </w:r>
      <w:r>
        <w:t xml:space="preserve">1 point for</w:t>
      </w:r>
      <w:r>
        <w:t xml:space="preserve"> </w:t>
      </w:r>
      <w:r>
        <w:t xml:space="preserve">“aluminum atoms have a (positive, dense) nucleus”</w:t>
      </w:r>
      <w:r>
        <w:t xml:space="preserve">; 1 point for an evidence-drives-the-model statement. This scenario is deliberately distinct from the worksheet’s gold-foil practice. NYSSLS: HS-PS1-1 / SEP-2.</w:t>
      </w:r>
    </w:p>
    <w:p>
      <w:pPr>
        <w:pStyle w:val="BodyText"/>
      </w:pPr>
      <w:r>
        <w:rPr>
          <w:b/>
          <w:bCs/>
        </w:rPr>
        <w:t xml:space="preserve">(b) Locations of protons, neutrons, and electrons:</w:t>
      </w:r>
    </w:p>
    <w:p>
      <w:pPr>
        <w:pStyle w:val="BodyText"/>
      </w:pPr>
      <w:r>
        <w:rPr>
          <w:i/>
          <w:iCs/>
        </w:rPr>
        <w:t xml:space="preserve">Full-credit model answer:</w:t>
      </w:r>
      <w:r>
        <w:t xml:space="preserve"> </w:t>
      </w:r>
      <w:r>
        <w:t xml:space="preserve">The protons (positive) and neutrons (neutral) are packed together in the tiny, dense nucleus at the center of the atom. The electrons (negative) are found outside the nucleus, occupying the mostly-empty space around it.</w:t>
      </w:r>
    </w:p>
    <w:p>
      <w:pPr>
        <w:pStyle w:val="BodyText"/>
      </w:pPr>
      <w:r>
        <w:rPr>
          <w:i/>
          <w:iCs/>
        </w:rPr>
        <w:t xml:space="preserve">Rubric:</w:t>
      </w:r>
      <w:r>
        <w:t xml:space="preserve"> </w:t>
      </w:r>
      <w:r>
        <w:t xml:space="preserve">1 point for placing protons AND neutrons together in the nucleus; 1 point for placing electrons outside the nucleus. This is exactly the structure named in HS-PS1-1. A student who places electrons inside the nucleus, or omits neutrons from the nucleus, earns partial credit with targeted feedback. NYSSLS: HS-PS1-1.</w:t>
      </w:r>
    </w:p>
    <w:p>
      <w:pPr>
        <w:pStyle w:val="BodyText"/>
      </w:pPr>
      <w:r>
        <w:rPr>
          <w:b/>
          <w:bCs/>
        </w:rPr>
        <w:t xml:space="preserve">(c) Why scientists kept revising the model:</w:t>
      </w:r>
    </w:p>
    <w:p>
      <w:pPr>
        <w:pStyle w:val="BodyText"/>
      </w:pPr>
      <w:r>
        <w:rPr>
          <w:i/>
          <w:iCs/>
        </w:rPr>
        <w:t xml:space="preserve">Full-credit model answer:</w:t>
      </w:r>
      <w:r>
        <w:t xml:space="preserve"> </w:t>
      </w:r>
      <w:r>
        <w:t xml:space="preserve">Each time new evidence appeared that the current model could not explain, scientists revised the model so it would fit the data — so the model kept improving instead of being declared final.</w:t>
      </w:r>
    </w:p>
    <w:p>
      <w:pPr>
        <w:pStyle w:val="BodyText"/>
      </w:pPr>
      <w:r>
        <w:rPr>
          <w:i/>
          <w:iCs/>
        </w:rPr>
        <w:t xml:space="preserve">Acceptable variations:</w:t>
      </w:r>
      <w:r>
        <w:t xml:space="preserve"> </w:t>
      </w:r>
      <w:r>
        <w:t xml:space="preserve">any response that ties revision to</w:t>
      </w:r>
      <w:r>
        <w:t xml:space="preserve"> </w:t>
      </w:r>
      <w:r>
        <w:t xml:space="preserve">“new evidence the old model couldn’t explain”</w:t>
      </w:r>
      <w:r>
        <w:t xml:space="preserve"> </w:t>
      </w:r>
      <w:r>
        <w:t xml:space="preserve">earns full credit. Responses that say only</w:t>
      </w:r>
      <w:r>
        <w:t xml:space="preserve"> </w:t>
      </w:r>
      <w:r>
        <w:t xml:space="preserve">“they were wrong”</w:t>
      </w:r>
      <w:r>
        <w:t xml:space="preserve"> </w:t>
      </w:r>
      <w:r>
        <w:t xml:space="preserve">or</w:t>
      </w:r>
      <w:r>
        <w:t xml:space="preserve"> </w:t>
      </w:r>
      <w:r>
        <w:t xml:space="preserve">“science changes”</w:t>
      </w:r>
      <w:r>
        <w:t xml:space="preserve"> </w:t>
      </w:r>
      <w:r>
        <w:t xml:space="preserve">without the evidence link earn partial credit.</w:t>
      </w:r>
      <w:r>
        <w:t xml:space="preserve"> </w:t>
      </w:r>
      <w:r>
        <w:rPr>
          <w:i/>
          <w:iCs/>
        </w:rPr>
        <w:t xml:space="preserve">Rubric:</w:t>
      </w:r>
      <w:r>
        <w:t xml:space="preserve"> </w:t>
      </w:r>
      <w:r>
        <w:t xml:space="preserve">1 point. NYSSLS: HS-PS1-1 / SEP-2; CCC Stability and Change.</w:t>
      </w:r>
    </w:p>
    <w:p>
      <w:pPr>
        <w:pStyle w:val="BodyText"/>
      </w:pPr>
      <w:r>
        <w:rPr>
          <w:i/>
          <w:iCs/>
        </w:rPr>
        <w:t xml:space="preserve">Tolerance/rubric summary:</w:t>
      </w:r>
      <w:r>
        <w:t xml:space="preserve"> </w:t>
      </w:r>
      <w:r>
        <w:t xml:space="preserve">(a) 2 points; (b) 2 points; (c) 1 point. Accept any phrasing that is scientifically correct and evidence-based; the structural facts (nucleus = protons + neutrons; electrons outside) and the evidence-drives-revision logic are the non-negotiable targets.</w:t>
      </w:r>
    </w:p>
    <w:bookmarkEnd w:id="11"/>
    <w:bookmarkStart w:id="12" w:name="closing-reflection-rubric"/>
    <w:p>
      <w:pPr>
        <w:pStyle w:val="Heading2"/>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04"/>
        </w:numPr>
      </w:pPr>
      <w:r>
        <w:t xml:space="preserve">A specific insight about indirect evidence —</w:t>
      </w:r>
      <w:r>
        <w:t xml:space="preserve"> </w:t>
      </w:r>
      <w:r>
        <w:t xml:space="preserve">“I was surprised you could figure out the inside of an atom by what bounces off it”</w:t>
      </w:r>
      <w:r>
        <w:t xml:space="preserve"> </w:t>
      </w:r>
      <w:r>
        <w:t xml:space="preserve">— rather than a generic</w:t>
      </w:r>
      <w:r>
        <w:t xml:space="preserve"> </w:t>
      </w:r>
      <w:r>
        <w:t xml:space="preserve">“today was interesting.”</w:t>
      </w:r>
      <w:r>
        <w:t xml:space="preserve"> </w:t>
      </w:r>
      <w:r>
        <w:t xml:space="preserve">Students who name the</w:t>
      </w:r>
      <w:r>
        <w:t xml:space="preserve"> </w:t>
      </w:r>
      <w:r>
        <w:rPr>
          <w:i/>
          <w:iCs/>
        </w:rPr>
        <w:t xml:space="preserve">method</w:t>
      </w:r>
      <w:r>
        <w:t xml:space="preserve"> </w:t>
      </w:r>
      <w:r>
        <w:t xml:space="preserve">(shooting particles, reading the pattern) show the active-learning sequence landed.</w:t>
      </w:r>
    </w:p>
    <w:p>
      <w:pPr>
        <w:pStyle w:val="Compact"/>
        <w:numPr>
          <w:ilvl w:val="0"/>
          <w:numId w:val="1004"/>
        </w:numPr>
      </w:pPr>
      <w:r>
        <w:t xml:space="preserve">Naming a partner who helped them interpret the bounce-back data, or a moment in the simulation where their prediction broke — this signals the collaborative, prediction-first structure worked.</w:t>
      </w:r>
    </w:p>
    <w:p>
      <w:pPr>
        <w:pStyle w:val="Compact"/>
        <w:numPr>
          <w:ilvl w:val="0"/>
          <w:numId w:val="1004"/>
        </w:numPr>
      </w:pPr>
      <w:r>
        <w:t xml:space="preserve">Any response connecting the</w:t>
      </w:r>
      <w:r>
        <w:t xml:space="preserve"> </w:t>
      </w:r>
      <w:r>
        <w:t xml:space="preserve">“knowing without seeing”</w:t>
      </w:r>
      <w:r>
        <w:t xml:space="preserve"> </w:t>
      </w:r>
      <w:r>
        <w:t xml:space="preserve">idea back to the restorative-circle story shows the strongest transfer between everyday and scientific reasoning.</w:t>
      </w:r>
    </w:p>
    <w:p>
      <w:pPr>
        <w:pStyle w:val="FirstParagraph"/>
      </w:pPr>
      <w:r>
        <w:t xml:space="preserve">If a student wrote on the Exit Ticket that the bounce-backs mean</w:t>
      </w:r>
      <w:r>
        <w:t xml:space="preserve"> </w:t>
      </w:r>
      <w:r>
        <w:t xml:space="preserve">“the atom is solid,”</w:t>
      </w:r>
      <w:r>
        <w:t xml:space="preserve"> </w:t>
      </w:r>
      <w:r>
        <w:t xml:space="preserve">the empty-space conclusion is inverted — most particles passing</w:t>
      </w:r>
      <w:r>
        <w:t xml:space="preserve"> </w:t>
      </w:r>
      <w:r>
        <w:rPr>
          <w:i/>
          <w:iCs/>
        </w:rPr>
        <w:t xml:space="preserve">through</w:t>
      </w:r>
      <w:r>
        <w:t xml:space="preserve"> </w:t>
      </w:r>
      <w:r>
        <w:t xml:space="preserve">is the evidence for empty space, and the rare bounce-back is the evidence for the dense nucleus. Address this with a brief one-on-one before the next lesson, since the next lessons in Atomic Concepts build directly on the nuclear structure.</w:t>
      </w:r>
    </w:p>
    <w:bookmarkEnd w:id="12"/>
    <w:bookmarkEnd w:id="13"/>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2026-06-01T19:45:23Z</dcterms:created>
  <dcterms:modified xsi:type="dcterms:W3CDTF">2026-06-01T19:45:23Z</dcterms:modified>
</cp:coreProperties>
</file>

<file path=docProps/custom.xml><?xml version="1.0" encoding="utf-8"?>
<Properties xmlns="http://schemas.openxmlformats.org/officeDocument/2006/custom-properties" xmlns:vt="http://schemas.openxmlformats.org/officeDocument/2006/docPropsVTypes"/>
</file>