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35bdd258ee1234003178d351abd2f2e897fe5a"/>
    <w:p>
      <w:pPr>
        <w:pStyle w:val="Heading1"/>
      </w:pPr>
      <w:r>
        <w:t xml:space="preserve">Benefits &amp; Risks of Nuclear Chemistry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Nuclear Chemistry — Lesson 04: Benefits &amp; Risks of Nuclear Chemistry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HS-PS4-4 (evaluate validity and reliability of published claims about radiation’s effects)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“A plant uses fission, a bomb uses fission, so a plant is a slow-motion bomb.”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Not valid.</w:t>
      </w:r>
      <w:r>
        <w:t xml:space="preserve"> </w:t>
      </w:r>
      <w:r>
        <w:t xml:space="preserve">The shared fact (both involve fission) does not support the conclusion that a plant will explode like a bomb. A reactor uses</w:t>
      </w:r>
      <w:r>
        <w:t xml:space="preserve"> </w:t>
      </w:r>
      <w:r>
        <w:rPr>
          <w:b/>
          <w:bCs/>
        </w:rPr>
        <w:t xml:space="preserve">low-enriched</w:t>
      </w:r>
      <w:r>
        <w:t xml:space="preserve"> </w:t>
      </w:r>
      <w:r>
        <w:t xml:space="preserve">fuel in an engineered</w:t>
      </w:r>
      <w:r>
        <w:t xml:space="preserve"> </w:t>
      </w:r>
      <w:r>
        <w:rPr>
          <w:b/>
          <w:bCs/>
        </w:rPr>
        <w:t xml:space="preserve">controlled, sub-critical</w:t>
      </w:r>
      <w:r>
        <w:t xml:space="preserve"> </w:t>
      </w:r>
      <w:r>
        <w:t xml:space="preserve">chain reaction; a weapon requires</w:t>
      </w:r>
      <w:r>
        <w:t xml:space="preserve"> </w:t>
      </w:r>
      <w:r>
        <w:rPr>
          <w:b/>
          <w:bCs/>
        </w:rPr>
        <w:t xml:space="preserve">highly enriched</w:t>
      </w:r>
      <w:r>
        <w:t xml:space="preserve"> </w:t>
      </w:r>
      <w:r>
        <w:t xml:space="preserve">material and an engineered</w:t>
      </w:r>
      <w:r>
        <w:t xml:space="preserve"> </w:t>
      </w:r>
      <w:r>
        <w:rPr>
          <w:b/>
          <w:bCs/>
        </w:rPr>
        <w:t xml:space="preserve">uncontrolled</w:t>
      </w:r>
      <w:r>
        <w:t xml:space="preserve"> </w:t>
      </w:r>
      <w:r>
        <w:t xml:space="preserve">chain reaction. The same underlying process is engineered toward opposite ends.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Dose/control difference:</w:t>
      </w:r>
      <w:r>
        <w:t xml:space="preserve"> </w:t>
      </w:r>
      <w:r>
        <w:t xml:space="preserve">it is the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of the reaction (and the enrichment of the fuel) that decides the outcome — not the presence of fission. A meltdown like Chernobyl was a steam/hydrogen explosion and a reactor-design failure, not a nuclear detonation.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“not valid”</w:t>
      </w:r>
      <w:r>
        <w:t xml:space="preserve"> </w:t>
      </w:r>
      <w:r>
        <w:t xml:space="preserve">+ names control/enrichment difference → full credit;</w:t>
      </w:r>
      <w:r>
        <w:t xml:space="preserve"> </w:t>
      </w:r>
      <w:r>
        <w:t xml:space="preserve">“not valid”</w:t>
      </w:r>
      <w:r>
        <w:t xml:space="preserve"> </w:t>
      </w:r>
      <w:r>
        <w:t xml:space="preserve">alone → partial. · NYSSLS: HS-PS4-4.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Hospital I-131 claim.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Valid and reliable.</w:t>
      </w:r>
      <w:r>
        <w:t xml:space="preserve"> </w:t>
      </w:r>
      <w:r>
        <w:t xml:space="preserve">Documented patient outcomes are evidence that directly supports the success claim (valid), and a hospital’s treatment records are a trustworthy, repeatable source (reliable). The 8-day half-life supports the</w:t>
      </w:r>
      <w:r>
        <w:t xml:space="preserve"> </w:t>
      </w:r>
      <w:r>
        <w:t xml:space="preserve">“clears the body”</w:t>
      </w:r>
      <w:r>
        <w:t xml:space="preserve"> </w:t>
      </w:r>
      <w:r>
        <w:t xml:space="preserve">claim with a checkable physical fact.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Decay-curve reading:</w:t>
      </w:r>
      <w:r>
        <w:t xml:space="preserve"> </w:t>
      </w:r>
      <w:r>
        <w:t xml:space="preserve">after about</w:t>
      </w:r>
      <w:r>
        <w:t xml:space="preserve"> </w:t>
      </w:r>
      <w:r>
        <w:rPr>
          <w:b/>
          <w:bCs/>
        </w:rPr>
        <w:t xml:space="preserve">24 days = 3 half-lives</w:t>
      </w:r>
      <w:r>
        <w:t xml:space="preserve">, about</w:t>
      </w:r>
      <w:r>
        <w:t xml:space="preserve"> </w:t>
      </w:r>
      <w:r>
        <w:rPr>
          <w:b/>
          <w:bCs/>
        </w:rPr>
        <w:t xml:space="preserve">12.5%</w:t>
      </w:r>
      <w:r>
        <w:t xml:space="preserve"> </w:t>
      </w:r>
      <w:r>
        <w:t xml:space="preserve">of the I-131 remains (100 → 50 → 25 → 12.5).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“valid and reliable”</w:t>
      </w:r>
      <w:r>
        <w:t xml:space="preserve"> </w:t>
      </w:r>
      <w:r>
        <w:t xml:space="preserve">+ 12.5% → full credit; correct percent with weak justification → partial. Accept</w:t>
      </w:r>
      <w:r>
        <w:t xml:space="preserve"> </w:t>
      </w:r>
      <w:r>
        <w:t xml:space="preserve">“about 12%.”</w:t>
      </w:r>
      <w:r>
        <w:t xml:space="preserve"> </w:t>
      </w:r>
      <w:r>
        <w:t xml:space="preserve">· NYSSLS: HS-PS4-4.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1986 Pripyat photo →</w:t>
      </w:r>
      <w:r>
        <w:rPr>
          <w:b/>
          <w:bCs/>
        </w:rPr>
        <w:t xml:space="preserve"> </w:t>
      </w:r>
      <w:r>
        <w:rPr>
          <w:b/>
          <w:bCs/>
        </w:rPr>
        <w:t xml:space="preserve">“the 2025 plant will become a wasteland.”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Conclusion is not valid.</w:t>
      </w:r>
      <w:r>
        <w:t xml:space="preserve"> </w:t>
      </w:r>
      <w:r>
        <w:t xml:space="preserve">A real historical accident does not, by itself, establish that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plant — a modern 2025 design with different engineering, regulations, and safety systems — will fail the same way. The event is real; the reasoning from that event to this plant is the weak link. (The photo is also low-</w:t>
      </w:r>
      <w:r>
        <w:rPr>
          <w:i/>
          <w:iCs/>
        </w:rPr>
        <w:t xml:space="preserve">reliability as evidence about the present</w:t>
      </w:r>
      <w:r>
        <w:t xml:space="preserve"> </w:t>
      </w:r>
      <w:r>
        <w:t xml:space="preserve">because it provides no current data.)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What a valid safety argument would need:</w:t>
      </w:r>
      <w:r>
        <w:t xml:space="preserve"> </w:t>
      </w:r>
      <w:r>
        <w:t xml:space="preserve">evidence about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plant — its reactor design and containment, the operator’s accident/incident record, independent regulatory inspection results, and the projected dose to nearby residents compared with background and with the alternatives it replaces.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“not valid”</w:t>
      </w:r>
      <w:r>
        <w:t xml:space="preserve"> </w:t>
      </w:r>
      <w:r>
        <w:t xml:space="preserve">+ at least one piece of plant-specific evidence named → full credit. · NYSSLS: HS-PS4-4.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Not valid.</w:t>
      </w:r>
      <w:r>
        <w:t xml:space="preserve"> </w:t>
      </w:r>
      <w:r>
        <w:t xml:space="preserve">The mailer equates a power line with a nuclear meltdown, but power lines emit</w:t>
      </w:r>
      <w:r>
        <w:t xml:space="preserve"> </w:t>
      </w:r>
      <w:r>
        <w:rPr>
          <w:b/>
          <w:bCs/>
        </w:rPr>
        <w:t xml:space="preserve">low-frequency, non-ionizing</w:t>
      </w:r>
      <w:r>
        <w:t xml:space="preserve"> </w:t>
      </w:r>
      <w:r>
        <w:t xml:space="preserve">radiation, which lacks the energy to break chemical bonds or directly damage DNA, while a meltdown releases</w:t>
      </w:r>
      <w:r>
        <w:t xml:space="preserve"> </w:t>
      </w:r>
      <w:r>
        <w:rPr>
          <w:b/>
          <w:bCs/>
        </w:rPr>
        <w:t xml:space="preserve">high-energy ionizing</w:t>
      </w:r>
      <w:r>
        <w:t xml:space="preserve"> </w:t>
      </w:r>
      <w:r>
        <w:t xml:space="preserve">radiation. Because the two are different</w:t>
      </w:r>
      <w:r>
        <w:t xml:space="preserve"> </w:t>
      </w:r>
      <w:r>
        <w:rPr>
          <w:i/>
          <w:iCs/>
        </w:rPr>
        <w:t xml:space="preserve">types</w:t>
      </w:r>
      <w:r>
        <w:t xml:space="preserve"> </w:t>
      </w:r>
      <w:r>
        <w:t xml:space="preserve">(frequencies) of radiation with very different effects on matter, the evidence (</w:t>
      </w:r>
      <w:r>
        <w:t xml:space="preserve">“both emit radiation”</w:t>
      </w:r>
      <w:r>
        <w:t xml:space="preserve">) does not support the conclusion that they cause the same cancers. (This is exactly the HS-PS4-4 idea: the effect on matter depends on the</w:t>
      </w:r>
      <w:r>
        <w:t xml:space="preserve"> </w:t>
      </w:r>
      <w:r>
        <w:rPr>
          <w:i/>
          <w:iCs/>
        </w:rPr>
        <w:t xml:space="preserve">frequency/energy</w:t>
      </w:r>
      <w:r>
        <w:t xml:space="preserve"> </w:t>
      </w:r>
      <w:r>
        <w:t xml:space="preserve">of the radiation.)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50 ÷ 7 ≈ 7.1</w:t>
      </w:r>
      <w:r>
        <w:t xml:space="preserve">, so the annual worker limit is roughly</w:t>
      </w:r>
      <w:r>
        <w:t xml:space="preserve"> </w:t>
      </w:r>
      <w:r>
        <w:rPr>
          <w:b/>
          <w:bCs/>
        </w:rPr>
        <w:t xml:space="preserve">7 CT scans’</w:t>
      </w:r>
      <w:r>
        <w:t xml:space="preserve"> </w:t>
      </w:r>
      <w:r>
        <w:t xml:space="preserve">worth of dose. The limit (≈ 50 mSv) is set</w:t>
      </w:r>
      <w:r>
        <w:t xml:space="preserve"> </w:t>
      </w:r>
      <w:r>
        <w:rPr>
          <w:b/>
          <w:bCs/>
        </w:rPr>
        <w:t xml:space="preserve">above</w:t>
      </w:r>
      <w:r>
        <w:t xml:space="preserve"> </w:t>
      </w:r>
      <w:r>
        <w:t xml:space="preserve">a single chest CT scan (≈ 7 mSv). Accept</w:t>
      </w:r>
      <w:r>
        <w:t xml:space="preserve"> </w:t>
      </w:r>
      <w:r>
        <w:t xml:space="preserve">“about 7”</w:t>
      </w:r>
      <w:r>
        <w:t xml:space="preserve"> </w:t>
      </w:r>
      <w:r>
        <w:t xml:space="preserve">or</w:t>
      </w:r>
      <w:r>
        <w:t xml:space="preserve"> </w:t>
      </w:r>
      <w:r>
        <w:t xml:space="preserve">“7 to 7.1.”</w:t>
      </w:r>
      <w:r>
        <w:t xml:space="preserve"> </w:t>
      </w:r>
      <w:r>
        <w:t xml:space="preserve">Full credit requires the correct setup (50 ÷ 7) and the correct above/below judgment.</w:t>
      </w:r>
    </w:p>
    <w:p>
      <w:pPr>
        <w:numPr>
          <w:ilvl w:val="0"/>
          <w:numId w:val="1005"/>
        </w:numPr>
      </w:pPr>
      <w:r>
        <w:t xml:space="preserve">Sample full-credit response — any correct benefit/risk pair with a deciding variable: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Benefit:</w:t>
      </w:r>
      <w:r>
        <w:t xml:space="preserve"> </w:t>
      </w:r>
      <w:r>
        <w:t xml:space="preserve">a medical scan/treatment images or cures disease (or: a power plant supplies carbon-free electricity).</w:t>
      </w:r>
      <w:r>
        <w:t xml:space="preserve"> </w:t>
      </w:r>
      <w:r>
        <w:rPr>
          <w:i/>
          <w:iCs/>
        </w:rPr>
        <w:t xml:space="preserve">Paired risk:</w:t>
      </w:r>
      <w:r>
        <w:t xml:space="preserve"> </w:t>
      </w:r>
      <w:r>
        <w:t xml:space="preserve">an uncontrolled or excessive dose damages healthy DNA (or: an accidental release contaminates an area).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Deciding variable:</w:t>
      </w:r>
      <w:r>
        <w:t xml:space="preserve"> </w:t>
      </w:r>
      <w:r>
        <w:rPr>
          <w:b/>
          <w:bCs/>
        </w:rPr>
        <w:t xml:space="preserve">dose and control</w:t>
      </w:r>
      <w:r>
        <w:t xml:space="preserve"> </w:t>
      </w:r>
      <w:r>
        <w:t xml:space="preserve">— how much radiation, how targeted, and whether it is contained. Any equivalent answer naming dose, amount, targeting, or control of the radiation earns full credit.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1 point —</w:t>
      </w:r>
      <w:r>
        <w:t xml:space="preserve"> </w:t>
      </w:r>
      <w:r>
        <w:t xml:space="preserve">“not valid”</w:t>
      </w:r>
      <w:r>
        <w:t xml:space="preserve"> </w:t>
      </w:r>
      <w:r>
        <w:t xml:space="preserve">with a reason that distinguishes ionizing from non-ionizing (or names the frequency/energy difference). (b) 1 point for ≈ 7 with the correct setup; 1 point for</w:t>
      </w:r>
      <w:r>
        <w:t xml:space="preserve"> </w:t>
      </w:r>
      <w:r>
        <w:t xml:space="preserve">“above”</w:t>
      </w:r>
      <w:r>
        <w:t xml:space="preserve">; 2 points total. (c) 1 point for a correct benefit/risk pair; 1 point for naming dose/control as the deciding variable; 2 points total. NYSSLS: HS-PS4-4.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 response. Look for:</w:t>
      </w:r>
    </w:p>
    <w:p>
      <w:pPr>
        <w:pStyle w:val="Compact"/>
        <w:numPr>
          <w:ilvl w:val="0"/>
          <w:numId w:val="1007"/>
        </w:numPr>
      </w:pPr>
      <w:r>
        <w:t xml:space="preserve">A specific shift in reasoning —</w:t>
      </w:r>
      <w:r>
        <w:t xml:space="preserve"> </w:t>
      </w:r>
      <w:r>
        <w:t xml:space="preserve">“I used to think all radiation was the same, but the dose chart changed that”</w:t>
      </w:r>
      <w:r>
        <w:t xml:space="preserve"> </w:t>
      </w:r>
      <w:r>
        <w:t xml:space="preserve">— rather than a generic</w:t>
      </w:r>
      <w:r>
        <w:t xml:space="preserve"> </w:t>
      </w:r>
      <w:r>
        <w:t xml:space="preserve">“it was interesting.”</w:t>
      </w:r>
    </w:p>
    <w:p>
      <w:pPr>
        <w:pStyle w:val="Compact"/>
        <w:numPr>
          <w:ilvl w:val="0"/>
          <w:numId w:val="1007"/>
        </w:numPr>
      </w:pPr>
      <w:r>
        <w:t xml:space="preserve">Naming a specific source of the shift: a case study, a classmate’s argument in the debate, or the dose/decay figure. This signals the active-learning structure landed.</w:t>
      </w:r>
    </w:p>
    <w:p>
      <w:pPr>
        <w:pStyle w:val="Compact"/>
        <w:numPr>
          <w:ilvl w:val="0"/>
          <w:numId w:val="1007"/>
        </w:numPr>
      </w:pPr>
      <w:r>
        <w:t xml:space="preserve">Any response that separates a</w:t>
      </w:r>
      <w:r>
        <w:t xml:space="preserve"> </w:t>
      </w:r>
      <w:r>
        <w:rPr>
          <w:i/>
          <w:iCs/>
        </w:rPr>
        <w:t xml:space="preserve">gut reaction to the word</w:t>
      </w:r>
      <w:r>
        <w:rPr>
          <w:i/>
          <w:iCs/>
        </w:rPr>
        <w:t xml:space="preserve"> </w:t>
      </w:r>
      <w:r>
        <w:rPr>
          <w:i/>
          <w:iCs/>
        </w:rPr>
        <w:t xml:space="preserve">“nuclear”</w:t>
      </w:r>
      <w:r>
        <w:t xml:space="preserve"> </w:t>
      </w:r>
      <w:r>
        <w:t xml:space="preserve">from an</w:t>
      </w:r>
      <w:r>
        <w:t xml:space="preserve"> </w:t>
      </w:r>
      <w:r>
        <w:rPr>
          <w:i/>
          <w:iCs/>
        </w:rPr>
        <w:t xml:space="preserve">evidence-based judgment</w:t>
      </w:r>
      <w:r>
        <w:t xml:space="preserve"> </w:t>
      </w:r>
      <w:r>
        <w:t xml:space="preserve">shows the strongest transfer toward HS-PS4-4 and the position paper.</w:t>
      </w:r>
    </w:p>
    <w:p>
      <w:pPr>
        <w:pStyle w:val="FirstParagraph"/>
      </w:pPr>
      <w:r>
        <w:t xml:space="preserve">If a student writes that nothing changed and still rates every claim identically, have a brief, non-punitive one-on-one before the position paper to check that they are evaluating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(validity/reliability) rather than reacting to the topic. Note: students may legitimately land on either side of the plant decision — the standard is met by the quality of the evidence-evaluation, not by the conclusion reached.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2026-06-01T19:45:28Z</dcterms:created>
  <dcterms:modified xsi:type="dcterms:W3CDTF">2026-06-01T19:45:28Z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