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lacement-of-elements-answer-key"/>
    <w:p>
      <w:pPr>
        <w:pStyle w:val="Heading1"/>
      </w:pPr>
      <w:r>
        <w:t xml:space="preserve">Placement of Elements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The Periodic Table — Lesson 01: Placement of Elements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HS-PS1-1 (HS-PS1-2 previewed)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Potassium (K) directly below sodium (Na) in the same column: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Valence electrons:</w:t>
      </w:r>
      <w:r>
        <w:t xml:space="preserve"> </w:t>
      </w:r>
      <w:r>
        <w:t xml:space="preserve">1. Potassium is in the same group as sodium (Group 1), so it has the same number of valence electrons — exactly 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How it reacts:</w:t>
      </w:r>
      <w:r>
        <w:t xml:space="preserve"> </w:t>
      </w:r>
      <w:r>
        <w:t xml:space="preserve">Like sodium — it is a reactive metal that tends to lose its single valence electron.</w:t>
      </w:r>
      <w:r>
        <w:t xml:space="preserve"> </w:t>
      </w:r>
      <w:r>
        <w:rPr>
          <w:i/>
          <w:iCs/>
        </w:rPr>
        <w:t xml:space="preserve">Reasoning:</w:t>
      </w:r>
      <w:r>
        <w:t xml:space="preserve"> </w:t>
      </w:r>
      <w:r>
        <w:t xml:space="preserve">same group → same number of valence electrons → similar chemistry. (Potassium is actually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reactive than sodium because its valence electron is farther from the nucleus, but</w:t>
      </w:r>
      <w:r>
        <w:t xml:space="preserve"> </w:t>
      </w:r>
      <w:r>
        <w:t xml:space="preserve">“reacts like sodium / loses one electron”</w:t>
      </w:r>
      <w:r>
        <w:t xml:space="preserve"> </w:t>
      </w:r>
      <w:r>
        <w:t xml:space="preserve">is the full-credit answer at this level.)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“1 valence electron”</w:t>
      </w:r>
      <w:r>
        <w:t xml:space="preserve">; 1 point for</w:t>
      </w:r>
      <w:r>
        <w:t xml:space="preserve"> </w:t>
      </w:r>
      <w:r>
        <w:t xml:space="preserve">“reacts like sodium / is a reactive metal”</w:t>
      </w:r>
      <w:r>
        <w:t xml:space="preserve"> </w:t>
      </w:r>
      <w:r>
        <w:t xml:space="preserve">with the same-group reasoning. NYSSLS: HS-PS1-1.</w:t>
      </w:r>
    </w:p>
    <w:p>
      <w:pPr>
        <w:pStyle w:val="FirstParagraph"/>
      </w:pPr>
      <w:r>
        <w:rPr>
          <w:b/>
          <w:bCs/>
        </w:rPr>
        <w:t xml:space="preserve">2. A Group 1 element vs. a Group 7 (17) element: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Valence electrons:</w:t>
      </w:r>
      <w:r>
        <w:t xml:space="preserve"> </w:t>
      </w:r>
      <w:r>
        <w:t xml:space="preserve">Group 1 element = 1 valence electron; Group 17 element = 7 valence electrons.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 they behave differently:</w:t>
      </w:r>
      <w:r>
        <w:t xml:space="preserve"> </w:t>
      </w:r>
      <w:r>
        <w:t xml:space="preserve">The number of valence electrons sets the chemistry. An element with 1 valence electron tends to</w:t>
      </w:r>
      <w:r>
        <w:t xml:space="preserve"> </w:t>
      </w:r>
      <w:r>
        <w:rPr>
          <w:i/>
          <w:iCs/>
        </w:rPr>
        <w:t xml:space="preserve">lose</w:t>
      </w:r>
      <w:r>
        <w:t xml:space="preserve"> </w:t>
      </w:r>
      <w:r>
        <w:t xml:space="preserve">it; an element with 7 valence electrons tends to</w:t>
      </w:r>
      <w:r>
        <w:t xml:space="preserve"> </w:t>
      </w:r>
      <w:r>
        <w:rPr>
          <w:i/>
          <w:iCs/>
        </w:rPr>
        <w:t xml:space="preserve">gain or share</w:t>
      </w:r>
      <w:r>
        <w:t xml:space="preserve"> </w:t>
      </w:r>
      <w:r>
        <w:t xml:space="preserve">one to complete its outer shell. Opposite tendencies → very different reactions, even opposite ones (a Group 1 metal and a Group 17 nonmetal often react</w:t>
      </w:r>
      <w:r>
        <w:t xml:space="preserve"> </w:t>
      </w:r>
      <w:r>
        <w:rPr>
          <w:i/>
          <w:iCs/>
        </w:rPr>
        <w:t xml:space="preserve">with each other</w:t>
      </w:r>
      <w:r>
        <w:t xml:space="preserve"> </w:t>
      </w:r>
      <w:r>
        <w:t xml:space="preserve">to form a salt).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counts (1 and 7); 1 point for explaining that different valence-electron counts produce different chemistry. NYSSLS: HS-PS1-1 / HS-PS1-2.</w:t>
      </w:r>
    </w:p>
    <w:p>
      <w:pPr>
        <w:pStyle w:val="FirstParagraph"/>
      </w:pPr>
      <w:r>
        <w:rPr>
          <w:b/>
          <w:bCs/>
        </w:rPr>
        <w:t xml:space="preserve">3. An element in Period 4: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the period number tells you:</w:t>
      </w:r>
      <w:r>
        <w:t xml:space="preserve"> </w:t>
      </w:r>
      <w:r>
        <w:t xml:space="preserve">Period 4 means the atom’s electrons occupy / fill</w:t>
      </w:r>
      <w:r>
        <w:t xml:space="preserve"> </w:t>
      </w:r>
      <w:r>
        <w:rPr>
          <w:b/>
          <w:bCs/>
        </w:rPr>
        <w:t xml:space="preserve">four</w:t>
      </w:r>
      <w:r>
        <w:t xml:space="preserve"> </w:t>
      </w:r>
      <w:r>
        <w:t xml:space="preserve">energy levels (shells). The period number = number of occupied shells.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Does it tell you the number of outer electrons?</w:t>
      </w:r>
      <w:r>
        <w:t xml:space="preserve"> </w:t>
      </w:r>
      <w:r>
        <w:t xml:space="preserve">No. The</w:t>
      </w:r>
      <w:r>
        <w:t xml:space="preserve"> </w:t>
      </w:r>
      <w:r>
        <w:rPr>
          <w:i/>
          <w:iCs/>
        </w:rPr>
        <w:t xml:space="preserve">period</w:t>
      </w:r>
      <w:r>
        <w:t xml:space="preserve"> </w:t>
      </w:r>
      <w:r>
        <w:t xml:space="preserve">tells you how many shells there are; the</w:t>
      </w:r>
      <w:r>
        <w:t xml:space="preserve"> </w:t>
      </w:r>
      <w:r>
        <w:rPr>
          <w:i/>
          <w:iCs/>
        </w:rPr>
        <w:t xml:space="preserve">group</w:t>
      </w:r>
      <w:r>
        <w:t xml:space="preserve"> </w:t>
      </w:r>
      <w:r>
        <w:t xml:space="preserve">(column) tells you how many valence (outer) electrons. Two elements can share Period 4 but have completely different numbers of valence electrons depending on their group.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“4 shells / energy levels”</w:t>
      </w:r>
      <w:r>
        <w:t xml:space="preserve">; 1 point for correctly stating that period ≠ valence-electron count and that the group provides that information. NYSSLS: HS-PS1-1.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Element X, atomic number 12: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Protons:</w:t>
      </w:r>
      <w:r>
        <w:t xml:space="preserve"> </w:t>
      </w:r>
      <w:r>
        <w:t xml:space="preserve">12 (atomic number = number of protons).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Period: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Group:</w:t>
      </w:r>
      <w:r>
        <w:t xml:space="preserve"> </w:t>
      </w:r>
      <w:r>
        <w:t xml:space="preserve">2.</w:t>
      </w:r>
    </w:p>
    <w:p>
      <w:pPr>
        <w:pStyle w:val="Compact"/>
        <w:numPr>
          <w:ilvl w:val="0"/>
          <w:numId w:val="1004"/>
        </w:numPr>
      </w:pPr>
      <w:r>
        <w:t xml:space="preserve">This element is magnesium (Mg); its Bohr-model shells are 2, 8, 2 — three shells (Period 3) with 2 valence electrons (Group 2).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1 point for 12 protons; 1 point for Period 3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Group 2 (both required for the point). Accept the identification</w:t>
      </w:r>
      <w:r>
        <w:t xml:space="preserve"> </w:t>
      </w:r>
      <w:r>
        <w:t xml:space="preserve">“magnesium”</w:t>
      </w:r>
      <w:r>
        <w:t xml:space="preserve"> </w:t>
      </w:r>
      <w:r>
        <w:t xml:space="preserve">as bonus, not required. NYSSLS: HS-PS1-1.</w:t>
      </w:r>
    </w:p>
    <w:p>
      <w:pPr>
        <w:pStyle w:val="FirstParagraph"/>
      </w:pPr>
      <w:r>
        <w:rPr>
          <w:b/>
          <w:bCs/>
        </w:rPr>
        <w:t xml:space="preserve">(b) Beryllium (Be) and magnesium (Mg), both Group 2: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Valence electrons:</w:t>
      </w:r>
      <w:r>
        <w:t xml:space="preserve"> </w:t>
      </w:r>
      <w:r>
        <w:t xml:space="preserve">Be = 2; Mg = 2. Both are in Group 2, so both have 2 valence electrons.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it tells you:</w:t>
      </w:r>
      <w:r>
        <w:t xml:space="preserve"> </w:t>
      </w:r>
      <w:r>
        <w:t xml:space="preserve">Because they have the same number of valence electrons, they react in similar ways (both are reactive metals that tend to lose 2 electrons and form similar compounds, e.g., BeO and MgO, or BeCl₂ and MgCl₂).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“2 and 2”</w:t>
      </w:r>
      <w:r>
        <w:t xml:space="preserve">; 1 point for connecting equal valence-electron count to similar chemical behavior. NYSSLS: HS-PS1-1.</w:t>
      </w:r>
    </w:p>
    <w:p>
      <w:pPr>
        <w:pStyle w:val="FirstParagraph"/>
      </w:pPr>
      <w:r>
        <w:rPr>
          <w:b/>
          <w:bCs/>
        </w:rPr>
        <w:t xml:space="preserve">(c) Why same-group elements behave alike despite different sizes: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Elements in the same group have the same number of valence electrons in their outermost shell, and it is the valence electrons that determine how an atom bonds and reacts — so even though one atom is larger (more inner shells), both react the same way because their</w:t>
      </w:r>
      <w:r>
        <w:t xml:space="preserve"> </w:t>
      </w:r>
      <w:r>
        <w:rPr>
          <w:i/>
          <w:iCs/>
        </w:rPr>
        <w:t xml:space="preserve">outer</w:t>
      </w:r>
      <w:r>
        <w:t xml:space="preserve">-electron arrangement is identical.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that identifies the</w:t>
      </w:r>
      <w:r>
        <w:t xml:space="preserve"> </w:t>
      </w:r>
      <w:r>
        <w:rPr>
          <w:b/>
          <w:bCs/>
        </w:rPr>
        <w:t xml:space="preserve">same number of valence electrons</w:t>
      </w:r>
      <w:r>
        <w:t xml:space="preserve"> </w:t>
      </w:r>
      <w:r>
        <w:t xml:space="preserve">as the reason for similar behavior, and notes that the size difference (extra inner shells / different period) does not change the outer-electron count, earns full credit. A response that says only</w:t>
      </w:r>
      <w:r>
        <w:t xml:space="preserve"> </w:t>
      </w:r>
      <w:r>
        <w:t xml:space="preserve">“they’re in the same column”</w:t>
      </w:r>
      <w:r>
        <w:t xml:space="preserve"> </w:t>
      </w:r>
      <w:r>
        <w:t xml:space="preserve">without naming valence electrons earns partial credit.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naming same number of valence electrons as the cause of similar chemistry; 1 point for explaining that the size/period difference does not change the valence-electron count. NYSSLS: HS-PS1-1.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6"/>
        </w:numPr>
      </w:pPr>
      <w:r>
        <w:t xml:space="preserve">Any mention of the card sort or the moment the missing element was revealed — students who connect their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prediction to Mendeleev’s real prediction are showing that</w:t>
      </w:r>
      <w:r>
        <w:t xml:space="preserve"> </w:t>
      </w:r>
      <w:r>
        <w:t xml:space="preserve">“position predicts properties”</w:t>
      </w:r>
      <w:r>
        <w:t xml:space="preserve"> </w:t>
      </w:r>
      <w:r>
        <w:t xml:space="preserve">landed as a real idea, not a memorized rule.</w:t>
      </w:r>
    </w:p>
    <w:p>
      <w:pPr>
        <w:pStyle w:val="Compact"/>
        <w:numPr>
          <w:ilvl w:val="0"/>
          <w:numId w:val="1006"/>
        </w:numPr>
      </w:pPr>
      <w:r>
        <w:t xml:space="preserve">Responses that reference the Bohr-model figure (</w:t>
      </w:r>
      <w:r>
        <w:t xml:space="preserve">“I didn’t realize Li and Na have the same outer electron”</w:t>
      </w:r>
      <w:r>
        <w:t xml:space="preserve">) show the structural reason for grouping has transferred.</w:t>
      </w:r>
    </w:p>
    <w:p>
      <w:pPr>
        <w:pStyle w:val="Compact"/>
        <w:numPr>
          <w:ilvl w:val="0"/>
          <w:numId w:val="1006"/>
        </w:numPr>
      </w:pPr>
      <w:r>
        <w:t xml:space="preserve">Students who name a partner who helped them see the column pattern are signaling that the group card-sort structure supported their learning — note this as evidence the ACTIVE LEARNING structure is working.</w:t>
      </w:r>
    </w:p>
    <w:p>
      <w:pPr>
        <w:pStyle w:val="FirstParagraph"/>
      </w:pPr>
      <w:r>
        <w:t xml:space="preserve">If a student can name</w:t>
      </w:r>
      <w:r>
        <w:t xml:space="preserve"> </w:t>
      </w:r>
      <w:r>
        <w:t xml:space="preserve">“period”</w:t>
      </w:r>
      <w:r>
        <w:t xml:space="preserve"> </w:t>
      </w:r>
      <w:r>
        <w:t xml:space="preserve">and</w:t>
      </w:r>
      <w:r>
        <w:t xml:space="preserve"> </w:t>
      </w:r>
      <w:r>
        <w:t xml:space="preserve">“group”</w:t>
      </w:r>
      <w:r>
        <w:t xml:space="preserve"> </w:t>
      </w:r>
      <w:r>
        <w:t xml:space="preserve">but cannot connect the group number to the number of valence electrons, that is the key gap to close — a brief one-on-one check (pick a group number, ask for the valence-electron count) at the start of the next lesson should be sufficient before the unit builds on this with bonding and reactivity trends.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2026-06-01T19:45:28Z</dcterms:created>
  <dcterms:modified xsi:type="dcterms:W3CDTF">2026-06-01T19:45:28Z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