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 w:name="allotropes-answer-key"/>
    <w:p>
      <w:pPr>
        <w:pStyle w:val="Heading1"/>
      </w:pPr>
      <w:r>
        <w:t xml:space="preserve">Allotropes — Answer Key</w:t>
      </w:r>
    </w:p>
    <w:bookmarkStart w:id="9" w:name="cover"/>
    <w:p>
      <w:pPr>
        <w:pStyle w:val="Heading2"/>
      </w:pPr>
      <w:r>
        <w:t xml:space="preserve">Cover</w:t>
      </w:r>
    </w:p>
    <w:p>
      <w:pPr>
        <w:pStyle w:val="FirstParagraph"/>
      </w:pPr>
      <w:r>
        <w:t xml:space="preserve">Unit: The Periodic Table — Lesson 04: Allotropes</w:t>
      </w:r>
      <w:r>
        <w:t xml:space="preserve"> </w:t>
      </w:r>
      <w:r>
        <w:t xml:space="preserve">East Meadow Schools × Valley Stream Central High School District</w:t>
      </w:r>
      <w:r>
        <w:t xml:space="preserve"> </w:t>
      </w:r>
      <w:r>
        <w:t xml:space="preserve">NYSSLS tag: HS-PS1-1 / HS-PS2-6 (structure determines properties)</w:t>
      </w:r>
    </w:p>
    <w:bookmarkEnd w:id="9"/>
    <w:bookmarkStart w:id="10" w:name="make-it-make-sense-answers"/>
    <w:p>
      <w:pPr>
        <w:pStyle w:val="Heading2"/>
      </w:pPr>
      <w:r>
        <w:t xml:space="preserve">Make-It-Make-Sense Answers</w:t>
      </w:r>
    </w:p>
    <w:p>
      <w:pPr>
        <w:pStyle w:val="FirstParagraph"/>
      </w:pPr>
      <w:r>
        <w:rPr>
          <w:b/>
          <w:bCs/>
        </w:rPr>
        <w:t xml:space="preserve">1. The diamond</w:t>
      </w:r>
      <w:r>
        <w:rPr>
          <w:b/>
          <w:bCs/>
        </w:rPr>
        <w:t xml:space="preserve"> </w:t>
      </w:r>
      <w:r>
        <w:rPr>
          <w:b/>
          <w:bCs/>
        </w:rPr>
        <w:t xml:space="preserve">“cage”</w:t>
      </w:r>
      <w:r>
        <w:rPr>
          <w:b/>
          <w:bCs/>
        </w:rPr>
        <w:t xml:space="preserve"> </w:t>
      </w:r>
      <w:r>
        <w:rPr>
          <w:b/>
          <w:bCs/>
        </w:rPr>
        <w:t xml:space="preserve">(Build A) — every carbon bonded to four neighbors in a rigid 3-D network:</w:t>
      </w:r>
    </w:p>
    <w:p>
      <w:pPr>
        <w:pStyle w:val="Compact"/>
        <w:numPr>
          <w:ilvl w:val="0"/>
          <w:numId w:val="1001"/>
        </w:numPr>
      </w:pPr>
      <w:r>
        <w:rPr>
          <w:i/>
          <w:iCs/>
        </w:rPr>
        <w:t xml:space="preserve">Why it cannot slide or be scratched easily:</w:t>
      </w:r>
      <w:r>
        <w:t xml:space="preserve"> </w:t>
      </w:r>
      <w:r>
        <w:t xml:space="preserve">In a three-dimensional network where each carbon is locked to four neighbors in all directions, there is no plane of weakness — no single direction along which atoms can slip past one another. Force applied from any direction is resisted by bonds running every way, so the structure holds its shape and cannot be scratched by softer materials.</w:t>
      </w:r>
    </w:p>
    <w:p>
      <w:pPr>
        <w:pStyle w:val="Compact"/>
        <w:numPr>
          <w:ilvl w:val="0"/>
          <w:numId w:val="1001"/>
        </w:numPr>
      </w:pPr>
      <w:r>
        <w:rPr>
          <w:i/>
          <w:iCs/>
        </w:rPr>
        <w:t xml:space="preserve">Which real form and where on the chart:</w:t>
      </w:r>
      <w:r>
        <w:t xml:space="preserve"> </w:t>
      </w:r>
      <w:r>
        <w:t xml:space="preserve">This is</w:t>
      </w:r>
      <w:r>
        <w:t xml:space="preserve"> </w:t>
      </w:r>
      <w:r>
        <w:rPr>
          <w:b/>
          <w:bCs/>
        </w:rPr>
        <w:t xml:space="preserve">diamond</w:t>
      </w:r>
      <w:r>
        <w:t xml:space="preserve">, the hardness-10 bar (top of the Mohs scale) — the hardest natural substance.</w:t>
      </w:r>
    </w:p>
    <w:p>
      <w:pPr>
        <w:pStyle w:val="Compact"/>
        <w:numPr>
          <w:ilvl w:val="0"/>
          <w:numId w:val="1001"/>
        </w:numPr>
      </w:pPr>
      <w:r>
        <w:rPr>
          <w:i/>
          <w:iCs/>
        </w:rPr>
        <w:t xml:space="preserve">Rubric:</w:t>
      </w:r>
      <w:r>
        <w:t xml:space="preserve"> </w:t>
      </w:r>
      <w:r>
        <w:t xml:space="preserve">1 point for connecting the 3-D / four-neighbor network to</w:t>
      </w:r>
      <w:r>
        <w:t xml:space="preserve"> </w:t>
      </w:r>
      <w:r>
        <w:t xml:space="preserve">“no direction to slide,”</w:t>
      </w:r>
      <w:r>
        <w:t xml:space="preserve"> </w:t>
      </w:r>
      <w:r>
        <w:t xml:space="preserve">1 point for naming diamond and placing it at hardness 10. Partial credit (1 of 2) for naming diamond without the structural reason. NYSSLS: HS-PS1-1 / HS-PS2-6.</w:t>
      </w:r>
    </w:p>
    <w:p>
      <w:pPr>
        <w:pStyle w:val="FirstParagraph"/>
      </w:pPr>
      <w:r>
        <w:rPr>
          <w:b/>
          <w:bCs/>
        </w:rPr>
        <w:t xml:space="preserve">2. The graphite</w:t>
      </w:r>
      <w:r>
        <w:rPr>
          <w:b/>
          <w:bCs/>
        </w:rPr>
        <w:t xml:space="preserve"> </w:t>
      </w:r>
      <w:r>
        <w:rPr>
          <w:b/>
          <w:bCs/>
        </w:rPr>
        <w:t xml:space="preserve">“sheets”</w:t>
      </w:r>
      <w:r>
        <w:rPr>
          <w:b/>
          <w:bCs/>
        </w:rPr>
        <w:t xml:space="preserve"> </w:t>
      </w:r>
      <w:r>
        <w:rPr>
          <w:b/>
          <w:bCs/>
        </w:rPr>
        <w:t xml:space="preserve">(Build B) — each carbon bonded to three neighbors in flat sheets, weakly stacked:</w:t>
      </w:r>
    </w:p>
    <w:p>
      <w:pPr>
        <w:pStyle w:val="Compact"/>
        <w:numPr>
          <w:ilvl w:val="0"/>
          <w:numId w:val="1002"/>
        </w:numPr>
      </w:pPr>
      <w:r>
        <w:rPr>
          <w:i/>
          <w:iCs/>
        </w:rPr>
        <w:t xml:space="preserve">What happens when you push the top sheet sideways:</w:t>
      </w:r>
      <w:r>
        <w:t xml:space="preserve"> </w:t>
      </w:r>
      <w:r>
        <w:t xml:space="preserve">It slides off easily — the sheets are only weakly held to one another, so they slip apart.</w:t>
      </w:r>
    </w:p>
    <w:p>
      <w:pPr>
        <w:pStyle w:val="Compact"/>
        <w:numPr>
          <w:ilvl w:val="0"/>
          <w:numId w:val="1002"/>
        </w:numPr>
      </w:pPr>
      <w:r>
        <w:rPr>
          <w:i/>
          <w:iCs/>
        </w:rPr>
        <w:t xml:space="preserve">Why it leaves a mark on paper:</w:t>
      </w:r>
      <w:r>
        <w:t xml:space="preserve"> </w:t>
      </w:r>
      <w:r>
        <w:t xml:space="preserve">When you drag graphite across paper, layers of the weakly stacked sheets peel off and stay on the page. Each pencil stroke is sheets of graphite rubbing off.</w:t>
      </w:r>
    </w:p>
    <w:p>
      <w:pPr>
        <w:pStyle w:val="Compact"/>
        <w:numPr>
          <w:ilvl w:val="0"/>
          <w:numId w:val="1002"/>
        </w:numPr>
      </w:pPr>
      <w:r>
        <w:rPr>
          <w:i/>
          <w:iCs/>
        </w:rPr>
        <w:t xml:space="preserve">Rubric:</w:t>
      </w:r>
      <w:r>
        <w:t xml:space="preserve"> </w:t>
      </w:r>
      <w:r>
        <w:t xml:space="preserve">1 point for</w:t>
      </w:r>
      <w:r>
        <w:t xml:space="preserve"> </w:t>
      </w:r>
      <w:r>
        <w:t xml:space="preserve">“the sheets slide / slip past each other,”</w:t>
      </w:r>
      <w:r>
        <w:t xml:space="preserve"> </w:t>
      </w:r>
      <w:r>
        <w:t xml:space="preserve">1 point for explaining that sliding/peeling sheets transfer onto the paper. The strongest answers note that the bonds</w:t>
      </w:r>
      <w:r>
        <w:t xml:space="preserve"> </w:t>
      </w:r>
      <w:r>
        <w:rPr>
          <w:i/>
          <w:iCs/>
        </w:rPr>
        <w:t xml:space="preserve">inside</w:t>
      </w:r>
      <w:r>
        <w:t xml:space="preserve"> </w:t>
      </w:r>
      <w:r>
        <w:t xml:space="preserve">a sheet are strong while the attraction</w:t>
      </w:r>
      <w:r>
        <w:t xml:space="preserve"> </w:t>
      </w:r>
      <w:r>
        <w:rPr>
          <w:i/>
          <w:iCs/>
        </w:rPr>
        <w:t xml:space="preserve">between</w:t>
      </w:r>
      <w:r>
        <w:t xml:space="preserve"> </w:t>
      </w:r>
      <w:r>
        <w:t xml:space="preserve">sheets is weak. NYSSLS: HS-PS1-1 / HS-PS2-6.</w:t>
      </w:r>
    </w:p>
    <w:p>
      <w:pPr>
        <w:pStyle w:val="FirstParagraph"/>
      </w:pPr>
      <w:r>
        <w:rPr>
          <w:b/>
          <w:bCs/>
        </w:rPr>
        <w:t xml:space="preserve">3. Rebutting</w:t>
      </w:r>
      <w:r>
        <w:rPr>
          <w:b/>
          <w:bCs/>
        </w:rPr>
        <w:t xml:space="preserve"> </w:t>
      </w:r>
      <w:r>
        <w:rPr>
          <w:b/>
          <w:bCs/>
        </w:rPr>
        <w:t xml:space="preserve">“diamond has something extra mixed in”</w:t>
      </w:r>
      <w:r>
        <w:rPr>
          <w:b/>
          <w:bCs/>
        </w:rPr>
        <w:t xml:space="preserve">:</w:t>
      </w:r>
    </w:p>
    <w:p>
      <w:pPr>
        <w:pStyle w:val="Compact"/>
        <w:numPr>
          <w:ilvl w:val="0"/>
          <w:numId w:val="1003"/>
        </w:numPr>
      </w:pPr>
      <w:r>
        <w:rPr>
          <w:i/>
          <w:iCs/>
        </w:rPr>
        <w:t xml:space="preserve">Both builds used the same:</w:t>
      </w:r>
      <w:r>
        <w:t xml:space="preserve"> </w:t>
      </w:r>
      <w:r>
        <w:t xml:space="preserve">pile of identical</w:t>
      </w:r>
      <w:r>
        <w:t xml:space="preserve"> </w:t>
      </w:r>
      <w:r>
        <w:t xml:space="preserve">“carbon”</w:t>
      </w:r>
      <w:r>
        <w:t xml:space="preserve"> </w:t>
      </w:r>
      <w:r>
        <w:t xml:space="preserve">atoms — the same element, nothing added. (In reality, both diamond and graphite are 100% pure carbon.)</w:t>
      </w:r>
    </w:p>
    <w:p>
      <w:pPr>
        <w:pStyle w:val="Compact"/>
        <w:numPr>
          <w:ilvl w:val="0"/>
          <w:numId w:val="1003"/>
        </w:numPr>
      </w:pPr>
      <w:r>
        <w:rPr>
          <w:i/>
          <w:iCs/>
        </w:rPr>
        <w:t xml:space="preserve">So the difference in hardness must come from:</w:t>
      </w:r>
      <w:r>
        <w:t xml:space="preserve"> </w:t>
      </w:r>
      <w:r>
        <w:t xml:space="preserve">the</w:t>
      </w:r>
      <w:r>
        <w:t xml:space="preserve"> </w:t>
      </w:r>
      <w:r>
        <w:rPr>
          <w:b/>
          <w:bCs/>
        </w:rPr>
        <w:t xml:space="preserve">arrangement</w:t>
      </w:r>
      <w:r>
        <w:t xml:space="preserve"> </w:t>
      </w:r>
      <w:r>
        <w:t xml:space="preserve">of the atoms (how each carbon is bonded to its neighbors), not from any extra ingredient. Same element, different structure, different property.</w:t>
      </w:r>
    </w:p>
    <w:p>
      <w:pPr>
        <w:pStyle w:val="Compact"/>
        <w:numPr>
          <w:ilvl w:val="0"/>
          <w:numId w:val="1003"/>
        </w:numPr>
      </w:pPr>
      <w:r>
        <w:rPr>
          <w:i/>
          <w:iCs/>
        </w:rPr>
        <w:t xml:space="preserve">Rubric:</w:t>
      </w:r>
      <w:r>
        <w:t xml:space="preserve"> </w:t>
      </w:r>
      <w:r>
        <w:t xml:space="preserve">1 point for stating that the atoms (the element) are identical in both, 1 point for attributing the difference to structure/arrangement rather than a hidden ingredient. This item directly targets the lesson’s central misconception. NYSSLS: HS-PS1-1 / HS-PS2-6.</w:t>
      </w:r>
    </w:p>
    <w:bookmarkEnd w:id="10"/>
    <w:bookmarkStart w:id="11" w:name="exit-ticket-answer"/>
    <w:p>
      <w:pPr>
        <w:pStyle w:val="Heading2"/>
      </w:pPr>
      <w:r>
        <w:t xml:space="preserve">Exit Ticket Answer</w:t>
      </w:r>
    </w:p>
    <w:p>
      <w:pPr>
        <w:pStyle w:val="FirstParagraph"/>
      </w:pPr>
      <w:r>
        <w:rPr>
          <w:i/>
          <w:iCs/>
        </w:rPr>
        <w:t xml:space="preserve">(Note: the Exit Ticket deliberately uses oxygen — a different element from the carbon practice — to test transfer rather than recall.)</w:t>
      </w:r>
    </w:p>
    <w:p>
      <w:pPr>
        <w:pStyle w:val="BodyText"/>
      </w:pPr>
      <w:r>
        <w:rPr>
          <w:b/>
          <w:bCs/>
        </w:rPr>
        <w:t xml:space="preserve">(a) Formulas of the two oxygen allotropes:</w:t>
      </w:r>
    </w:p>
    <w:p>
      <w:pPr>
        <w:pStyle w:val="Compact"/>
        <w:numPr>
          <w:ilvl w:val="0"/>
          <w:numId w:val="1004"/>
        </w:numPr>
      </w:pPr>
      <w:r>
        <w:t xml:space="preserve">Dioxygen (the gas we breathe):</w:t>
      </w:r>
      <w:r>
        <w:t xml:space="preserve"> </w:t>
      </w:r>
      <w:r>
        <w:rPr>
          <w:b/>
          <w:bCs/>
        </w:rPr>
        <w:t xml:space="preserve">O₂</w:t>
      </w:r>
    </w:p>
    <w:p>
      <w:pPr>
        <w:pStyle w:val="Compact"/>
        <w:numPr>
          <w:ilvl w:val="0"/>
          <w:numId w:val="1004"/>
        </w:numPr>
      </w:pPr>
      <w:r>
        <w:t xml:space="preserve">Ozone:</w:t>
      </w:r>
      <w:r>
        <w:t xml:space="preserve"> </w:t>
      </w:r>
      <w:r>
        <w:rPr>
          <w:b/>
          <w:bCs/>
        </w:rPr>
        <w:t xml:space="preserve">O₃</w:t>
      </w:r>
    </w:p>
    <w:p>
      <w:pPr>
        <w:pStyle w:val="FirstParagraph"/>
      </w:pPr>
      <w:r>
        <w:rPr>
          <w:i/>
          <w:iCs/>
        </w:rPr>
        <w:t xml:space="preserve">Rubric:</w:t>
      </w:r>
      <w:r>
        <w:t xml:space="preserve"> </w:t>
      </w:r>
      <w:r>
        <w:t xml:space="preserve">1 point for O₂, 1 point for O₃. Subscripts must be correct (two oxygen atoms vs. three). A response of</w:t>
      </w:r>
      <w:r>
        <w:t xml:space="preserve"> </w:t>
      </w:r>
      <w:r>
        <w:t xml:space="preserve">“O”</w:t>
      </w:r>
      <w:r>
        <w:t xml:space="preserve"> </w:t>
      </w:r>
      <w:r>
        <w:t xml:space="preserve">with no subscript, or reversed assignments, earns partial credit (1 of 2) at most.</w:t>
      </w:r>
    </w:p>
    <w:p>
      <w:pPr>
        <w:pStyle w:val="BodyText"/>
      </w:pPr>
      <w:r>
        <w:rPr>
          <w:b/>
          <w:bCs/>
        </w:rPr>
        <w:t xml:space="preserve">(b) Definition of an allotrope:</w:t>
      </w:r>
    </w:p>
    <w:p>
      <w:pPr>
        <w:pStyle w:val="BodyText"/>
      </w:pPr>
      <w:r>
        <w:rPr>
          <w:i/>
          <w:iCs/>
        </w:rPr>
        <w:t xml:space="preserve">Full-credit model answer:</w:t>
      </w:r>
      <w:r>
        <w:t xml:space="preserve"> </w:t>
      </w:r>
      <w:r>
        <w:t xml:space="preserve">An allotrope is one of two or more different structural forms of the</w:t>
      </w:r>
      <w:r>
        <w:t xml:space="preserve"> </w:t>
      </w:r>
      <w:r>
        <w:rPr>
          <w:b/>
          <w:bCs/>
        </w:rPr>
        <w:t xml:space="preserve">same element</w:t>
      </w:r>
      <w:r>
        <w:t xml:space="preserve">, in which identical atoms are bonded or arranged differently, giving each form different properties.</w:t>
      </w:r>
    </w:p>
    <w:p>
      <w:pPr>
        <w:pStyle w:val="BodyText"/>
      </w:pPr>
      <w:r>
        <w:rPr>
          <w:i/>
          <w:iCs/>
        </w:rPr>
        <w:t xml:space="preserve">Acceptable variations:</w:t>
      </w:r>
      <w:r>
        <w:t xml:space="preserve"> </w:t>
      </w:r>
      <w:r>
        <w:t xml:space="preserve">Any answer that captures (i)</w:t>
      </w:r>
      <w:r>
        <w:t xml:space="preserve"> </w:t>
      </w:r>
      <w:r>
        <w:t xml:space="preserve">“same element”</w:t>
      </w:r>
      <w:r>
        <w:t xml:space="preserve"> </w:t>
      </w:r>
      <w:r>
        <w:t xml:space="preserve">and (ii)</w:t>
      </w:r>
      <w:r>
        <w:t xml:space="preserve"> </w:t>
      </w:r>
      <w:r>
        <w:t xml:space="preserve">“different structure/arrangement/form”</w:t>
      </w:r>
      <w:r>
        <w:t xml:space="preserve"> </w:t>
      </w:r>
      <w:r>
        <w:t xml:space="preserve">earns full credit. Responses that say only</w:t>
      </w:r>
      <w:r>
        <w:t xml:space="preserve"> </w:t>
      </w:r>
      <w:r>
        <w:t xml:space="preserve">“a different form of something”</w:t>
      </w:r>
      <w:r>
        <w:t xml:space="preserve"> </w:t>
      </w:r>
      <w:r>
        <w:t xml:space="preserve">without specifying</w:t>
      </w:r>
      <w:r>
        <w:t xml:space="preserve"> </w:t>
      </w:r>
      <w:r>
        <w:rPr>
          <w:i/>
          <w:iCs/>
        </w:rPr>
        <w:t xml:space="preserve">same element</w:t>
      </w:r>
      <w:r>
        <w:t xml:space="preserve"> </w:t>
      </w:r>
      <w:r>
        <w:t xml:space="preserve">earn partial credit. A response that says</w:t>
      </w:r>
      <w:r>
        <w:t xml:space="preserve"> </w:t>
      </w:r>
      <w:r>
        <w:t xml:space="preserve">“a different element”</w:t>
      </w:r>
      <w:r>
        <w:t xml:space="preserve"> </w:t>
      </w:r>
      <w:r>
        <w:t xml:space="preserve">is incorrect (that is the most common error — flag it).</w:t>
      </w:r>
    </w:p>
    <w:p>
      <w:pPr>
        <w:pStyle w:val="BodyText"/>
      </w:pPr>
      <w:r>
        <w:rPr>
          <w:i/>
          <w:iCs/>
        </w:rPr>
        <w:t xml:space="preserve">Rubric:</w:t>
      </w:r>
      <w:r>
        <w:t xml:space="preserve"> </w:t>
      </w:r>
      <w:r>
        <w:t xml:space="preserve">2 points — 1 for</w:t>
      </w:r>
      <w:r>
        <w:t xml:space="preserve"> </w:t>
      </w:r>
      <w:r>
        <w:t xml:space="preserve">“same element,”</w:t>
      </w:r>
      <w:r>
        <w:t xml:space="preserve"> </w:t>
      </w:r>
      <w:r>
        <w:t xml:space="preserve">1 for</w:t>
      </w:r>
      <w:r>
        <w:t xml:space="preserve"> </w:t>
      </w:r>
      <w:r>
        <w:t xml:space="preserve">“different structure/arrangement.”</w:t>
      </w:r>
    </w:p>
    <w:p>
      <w:pPr>
        <w:pStyle w:val="BodyText"/>
      </w:pPr>
      <w:r>
        <w:rPr>
          <w:b/>
          <w:bCs/>
        </w:rPr>
        <w:t xml:space="preserve">(c) Cause-and-Effect sentence — why allotropes of the same element differ:</w:t>
      </w:r>
    </w:p>
    <w:p>
      <w:pPr>
        <w:pStyle w:val="BodyText"/>
      </w:pPr>
      <w:r>
        <w:rPr>
          <w:i/>
          <w:iCs/>
        </w:rPr>
        <w:t xml:space="preserve">Full-credit model answer:</w:t>
      </w:r>
      <w:r>
        <w:t xml:space="preserve"> </w:t>
      </w:r>
      <w:r>
        <w:t xml:space="preserve">Because the same atoms are arranged in different structures (the cause), the bulk properties such as hardness or reactivity come out different (the effect), even though the element itself does not change — diamond’s 3-D carbon network is hard while graphite’s sliding sheets are soft, and O₃ is more reactive than O₂ because the atoms are arranged differently.</w:t>
      </w:r>
    </w:p>
    <w:p>
      <w:pPr>
        <w:pStyle w:val="BodyText"/>
      </w:pPr>
      <w:r>
        <w:rPr>
          <w:i/>
          <w:iCs/>
        </w:rPr>
        <w:t xml:space="preserve">Acceptable variations:</w:t>
      </w:r>
      <w:r>
        <w:t xml:space="preserve"> </w:t>
      </w:r>
      <w:r>
        <w:t xml:space="preserve">Any response that names the</w:t>
      </w:r>
      <w:r>
        <w:t xml:space="preserve"> </w:t>
      </w:r>
      <w:r>
        <w:rPr>
          <w:i/>
          <w:iCs/>
        </w:rPr>
        <w:t xml:space="preserve">arrangement/structure</w:t>
      </w:r>
      <w:r>
        <w:t xml:space="preserve"> </w:t>
      </w:r>
      <w:r>
        <w:t xml:space="preserve">as the cause and a</w:t>
      </w:r>
      <w:r>
        <w:t xml:space="preserve"> </w:t>
      </w:r>
      <w:r>
        <w:rPr>
          <w:i/>
          <w:iCs/>
        </w:rPr>
        <w:t xml:space="preserve">property difference</w:t>
      </w:r>
      <w:r>
        <w:t xml:space="preserve"> </w:t>
      </w:r>
      <w:r>
        <w:t xml:space="preserve">as the effect, while noting the element stays the same, earns full credit. Examples may be drawn from carbon or oxygen. Responses that restate</w:t>
      </w:r>
      <w:r>
        <w:t xml:space="preserve"> </w:t>
      </w:r>
      <w:r>
        <w:t xml:space="preserve">“they’re different”</w:t>
      </w:r>
      <w:r>
        <w:t xml:space="preserve"> </w:t>
      </w:r>
      <w:r>
        <w:t xml:space="preserve">without identifying arrangement as the cause earn partial credit.</w:t>
      </w:r>
    </w:p>
    <w:p>
      <w:pPr>
        <w:pStyle w:val="BodyText"/>
      </w:pPr>
      <w:r>
        <w:rPr>
          <w:i/>
          <w:iCs/>
        </w:rPr>
        <w:t xml:space="preserve">Rubric:</w:t>
      </w:r>
      <w:r>
        <w:t xml:space="preserve"> </w:t>
      </w:r>
      <w:r>
        <w:t xml:space="preserve">2 points — 1 point for identifying arrangement/structure as the cause, 1 point for identifying a property difference as the effect (with the element held constant). NYSSLS: HS-PS1-1 / HS-PS2-6.</w:t>
      </w:r>
    </w:p>
    <w:bookmarkEnd w:id="11"/>
    <w:bookmarkStart w:id="12" w:name="closing-reflection-rubric"/>
    <w:p>
      <w:pPr>
        <w:pStyle w:val="Heading2"/>
      </w:pPr>
      <w:r>
        <w:t xml:space="preserve">Closing Reflection (rubric)</w:t>
      </w:r>
    </w:p>
    <w:p>
      <w:pPr>
        <w:pStyle w:val="FirstParagraph"/>
      </w:pPr>
      <w:r>
        <w:t xml:space="preserve">The closing reflection is formative, not graded. Award full credit for any genuine, specific response. Look for:</w:t>
      </w:r>
    </w:p>
    <w:p>
      <w:pPr>
        <w:pStyle w:val="Compact"/>
        <w:numPr>
          <w:ilvl w:val="0"/>
          <w:numId w:val="1005"/>
        </w:numPr>
      </w:pPr>
      <w:r>
        <w:t xml:space="preserve">Any mention of the two physical builds (the cage that locked, the sheets that slid) and how the same pile of atoms produced opposite behavior — students who connect the hands-on result to the hardness chart are showing that</w:t>
      </w:r>
      <w:r>
        <w:t xml:space="preserve"> </w:t>
      </w:r>
      <w:r>
        <w:t xml:space="preserve">“structure determines properties”</w:t>
      </w:r>
      <w:r>
        <w:t xml:space="preserve"> </w:t>
      </w:r>
      <w:r>
        <w:t xml:space="preserve">landed as evidence, not as a slogan.</w:t>
      </w:r>
    </w:p>
    <w:p>
      <w:pPr>
        <w:pStyle w:val="Compact"/>
        <w:numPr>
          <w:ilvl w:val="0"/>
          <w:numId w:val="1005"/>
        </w:numPr>
      </w:pPr>
      <w:r>
        <w:t xml:space="preserve">Responses that explicitly reject the</w:t>
      </w:r>
      <w:r>
        <w:t xml:space="preserve"> </w:t>
      </w:r>
      <w:r>
        <w:t xml:space="preserve">“hidden ingredient”</w:t>
      </w:r>
      <w:r>
        <w:t xml:space="preserve"> </w:t>
      </w:r>
      <w:r>
        <w:t xml:space="preserve">idea — naming arrangement as the cause — demonstrate that the central misconception was overturned. Note these students as having integrated the concept.</w:t>
      </w:r>
    </w:p>
    <w:p>
      <w:pPr>
        <w:pStyle w:val="Compact"/>
        <w:numPr>
          <w:ilvl w:val="0"/>
          <w:numId w:val="1005"/>
        </w:numPr>
      </w:pPr>
      <w:r>
        <w:t xml:space="preserve">Naming a group member who helped them notice the slide direction or the four-vs-three neighbor count signals that the ACTIVE LEARNING group structure supported the learning — evidence the build-then-explain sequence is working.</w:t>
      </w:r>
    </w:p>
    <w:p>
      <w:pPr>
        <w:pStyle w:val="FirstParagraph"/>
      </w:pPr>
      <w:r>
        <w:t xml:space="preserve">If a student still attributes the hardness difference to a second ingredient (</w:t>
      </w:r>
      <w:r>
        <w:t xml:space="preserve">“diamond must have something else in it”</w:t>
      </w:r>
      <w:r>
        <w:t xml:space="preserve">) on the Exit Ticket or reflection, plan a 30-second check at the start of the next lesson: hand them the two identical-atom models again and ask what was different. The fix is fast once they re-handle the models.</w:t>
      </w:r>
    </w:p>
    <w:bookmarkEnd w:id="12"/>
    <w:bookmarkEnd w:id="13"/>
    <w:sectPr w:rsidR="00FC693F" w:rsidRPr="0006063C" w:rsidSect="00034616">
      <w:pgSz w:h="15840" w:w="12240"/>
      <w:pgMar w:bottom="1152" w:footer="720" w:gutter="0" w:header="720" w:left="1296" w:right="1296" w:top="1152"/>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Inter" w:hAnsi="Inter"/>
      <w:color w:val="1A1A1A"/>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Inter" w:asciiTheme="majorHAnsi" w:cstheme="majorBidi" w:eastAsiaTheme="majorEastAsia" w:hAnsi="Inter" w:hAnsiTheme="majorHAnsi"/>
      <w:b/>
      <w:bCs/>
      <w:color w:val="662E80"/>
      <w:sz w:val="44"/>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Inter" w:asciiTheme="majorHAnsi" w:cstheme="majorBidi" w:eastAsiaTheme="majorEastAsia" w:hAnsi="Inter" w:hAnsiTheme="majorHAnsi"/>
      <w:b/>
      <w:bCs/>
      <w:color w:val="662E80"/>
      <w:sz w:val="32"/>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Inter" w:asciiTheme="majorHAnsi" w:cstheme="majorBidi" w:eastAsiaTheme="majorEastAsia" w:hAnsi="Inter" w:hAnsiTheme="majorHAnsi"/>
      <w:b/>
      <w:bCs/>
      <w:color w:val="662E80"/>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2026-06-01T19:45:30Z</dcterms:created>
  <dcterms:modified xsi:type="dcterms:W3CDTF">2026-06-01T19:45:30Z</dcterms:modified>
</cp:coreProperties>
</file>

<file path=docProps/custom.xml><?xml version="1.0" encoding="utf-8"?>
<Properties xmlns="http://schemas.openxmlformats.org/officeDocument/2006/custom-properties" xmlns:vt="http://schemas.openxmlformats.org/officeDocument/2006/docPropsVTypes"/>
</file>