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naming-compounds-answer-key"/>
    <w:p>
      <w:pPr>
        <w:pStyle w:val="Heading1"/>
      </w:pPr>
      <w:r>
        <w:t xml:space="preserve">Naming Compounds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Chemical Bonding — Lesson 01: Naming Compounds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supports HS-PS1-1 / HS-PS1-2 (nomenclature as the language layer for bonding and reactions)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MgO — magnesium oxide</w:t>
      </w:r>
    </w:p>
    <w:p>
      <w:pPr>
        <w:pStyle w:val="Compact"/>
        <w:numPr>
          <w:ilvl w:val="0"/>
          <w:numId w:val="1001"/>
        </w:numPr>
      </w:pPr>
      <w:r>
        <w:t xml:space="preserve">Kinds of elements: metal (Mg) + nonmetal (O). Branch:</w:t>
      </w:r>
      <w:r>
        <w:t xml:space="preserve"> </w:t>
      </w:r>
      <w:r>
        <w:rPr>
          <w:b/>
          <w:bCs/>
        </w:rPr>
        <w:t xml:space="preserve">binary ionic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Rule applied: cation name (magnesium) + anion root with</w:t>
      </w:r>
      <w:r>
        <w:t xml:space="preserve"> </w:t>
      </w:r>
      <w:r>
        <w:rPr>
          <w:b/>
          <w:bCs/>
        </w:rPr>
        <w:t xml:space="preserve">-ide</w:t>
      </w:r>
      <w:r>
        <w:t xml:space="preserve"> </w:t>
      </w:r>
      <w:r>
        <w:t xml:space="preserve">ending (oxygen → ox</w:t>
      </w:r>
      <w:r>
        <w:rPr>
          <w:b/>
          <w:bCs/>
        </w:rPr>
        <w:t xml:space="preserve">ide</w:t>
      </w:r>
      <w:r>
        <w:t xml:space="preserve">). No prefixes (ionic). Mg²⁺ and O²⁻ balance 1:1, so the formula is MgO.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Name: magnesium oxide.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name; 1 point for identifying the binary-ionic branch and the</w:t>
      </w:r>
      <w:r>
        <w:t xml:space="preserve"> </w:t>
      </w:r>
      <w:r>
        <w:t xml:space="preserve">“-ide”</w:t>
      </w:r>
      <w:r>
        <w:t xml:space="preserve"> </w:t>
      </w:r>
      <w:r>
        <w:t xml:space="preserve">rule. A student who writes</w:t>
      </w:r>
      <w:r>
        <w:t xml:space="preserve"> </w:t>
      </w:r>
      <w:r>
        <w:t xml:space="preserve">“magnesium dioxide”</w:t>
      </w:r>
      <w:r>
        <w:t xml:space="preserve"> </w:t>
      </w:r>
      <w:r>
        <w:t xml:space="preserve">applied a covalent prefix to an ionic compound — flag the misconception (prefixes are covalent-only). NYSSLS: supports HS-PS1-1 / HS-PS1-2.</w:t>
      </w:r>
    </w:p>
    <w:p>
      <w:pPr>
        <w:pStyle w:val="BodyText"/>
      </w:pPr>
      <w:r>
        <w:rPr>
          <w:b/>
          <w:bCs/>
        </w:rPr>
        <w:t xml:space="preserve">2. Ca(NO₃)₂ — calcium nitrate</w:t>
      </w:r>
    </w:p>
    <w:p>
      <w:pPr>
        <w:pStyle w:val="Compact"/>
        <w:numPr>
          <w:ilvl w:val="0"/>
          <w:numId w:val="1002"/>
        </w:numPr>
      </w:pPr>
      <w:r>
        <w:t xml:space="preserve">Kinds of elements: metal (Ca) + polyatomic ion (NO₃⁻). Branch:</w:t>
      </w:r>
      <w:r>
        <w:t xml:space="preserve"> </w:t>
      </w:r>
      <w:r>
        <w:rPr>
          <w:b/>
          <w:bCs/>
        </w:rPr>
        <w:t xml:space="preserve">ternary (polyatomic) ionic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Polyatomic ion present (Table E):</w:t>
      </w:r>
      <w:r>
        <w:t xml:space="preserve"> </w:t>
      </w:r>
      <w:r>
        <w:rPr>
          <w:b/>
          <w:bCs/>
        </w:rPr>
        <w:t xml:space="preserve">nitrate</w:t>
      </w:r>
      <w:r>
        <w:t xml:space="preserve">, NO₃⁻. Kept whole — no</w:t>
      </w:r>
      <w:r>
        <w:t xml:space="preserve"> </w:t>
      </w:r>
      <w:r>
        <w:t xml:space="preserve">“-ide,”</w:t>
      </w:r>
      <w:r>
        <w:t xml:space="preserve"> </w:t>
      </w:r>
      <w:r>
        <w:t xml:space="preserve">no prefix. The subscript 2 outside the parentheses balances Ca²⁺ with two nitrate ions, but that count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appear in the name.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Name: calcium nitrate.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name; 1 point for naming the polyatomic ion (nitrate) and stating it is kept whole. Common error:</w:t>
      </w:r>
      <w:r>
        <w:t xml:space="preserve"> </w:t>
      </w:r>
      <w:r>
        <w:t xml:space="preserve">“calcium nitride”</w:t>
      </w:r>
      <w:r>
        <w:t xml:space="preserve"> </w:t>
      </w:r>
      <w:r>
        <w:t xml:space="preserve">(nitride = N³⁻, a different, monatomic anion). If this appears, contrast nitrate (NO₃⁻, polyatomic) with nitride (N³⁻, monatomic). NYSSLS: supports HS-PS1-1 / HS-PS1-2.</w:t>
      </w:r>
    </w:p>
    <w:p>
      <w:pPr>
        <w:pStyle w:val="BodyText"/>
      </w:pPr>
      <w:r>
        <w:rPr>
          <w:b/>
          <w:bCs/>
        </w:rPr>
        <w:t xml:space="preserve">3. N₂O₄ — dinitrogen tetroxide</w:t>
      </w:r>
    </w:p>
    <w:p>
      <w:pPr>
        <w:pStyle w:val="Compact"/>
        <w:numPr>
          <w:ilvl w:val="0"/>
          <w:numId w:val="1003"/>
        </w:numPr>
      </w:pPr>
      <w:r>
        <w:t xml:space="preserve">Kinds of elements: two nonmetals (N and O). Branch:</w:t>
      </w:r>
      <w:r>
        <w:t xml:space="preserve"> </w:t>
      </w:r>
      <w:r>
        <w:rPr>
          <w:b/>
          <w:bCs/>
        </w:rPr>
        <w:t xml:space="preserve">covalent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Prefixes: nitrogen appears twice →</w:t>
      </w:r>
      <w:r>
        <w:t xml:space="preserve"> </w:t>
      </w:r>
      <w:r>
        <w:rPr>
          <w:b/>
          <w:bCs/>
        </w:rPr>
        <w:t xml:space="preserve">di</w:t>
      </w:r>
      <w:r>
        <w:t xml:space="preserve">nitrogen; oxygen appears four times →</w:t>
      </w:r>
      <w:r>
        <w:t xml:space="preserve"> </w:t>
      </w:r>
      <w:r>
        <w:rPr>
          <w:b/>
          <w:bCs/>
        </w:rPr>
        <w:t xml:space="preserve">tetr(a)</w:t>
      </w:r>
      <w:r>
        <w:t xml:space="preserve">oxide (the</w:t>
      </w:r>
      <w:r>
        <w:t xml:space="preserve"> </w:t>
      </w:r>
      <w:r>
        <w:rPr>
          <w:i/>
          <w:iCs/>
        </w:rPr>
        <w:t xml:space="preserve">a</w:t>
      </w:r>
      <w:r>
        <w:t xml:space="preserve"> </w:t>
      </w:r>
      <w:r>
        <w:t xml:space="preserve">drops before the vowel</w:t>
      </w:r>
      <w:r>
        <w:t xml:space="preserve"> </w:t>
      </w:r>
      <w:r>
        <w:rPr>
          <w:i/>
          <w:iCs/>
        </w:rPr>
        <w:t xml:space="preserve">o</w:t>
      </w:r>
      <w:r>
        <w:t xml:space="preserve">). The first element keeps its prefix here because there are two nitrogens.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Name: dinitrogen tetroxide</w:t>
      </w:r>
      <w:r>
        <w:t xml:space="preserve"> </w:t>
      </w:r>
      <w:r>
        <w:t xml:space="preserve">(accept</w:t>
      </w:r>
      <w:r>
        <w:t xml:space="preserve"> </w:t>
      </w:r>
      <w:r>
        <w:t xml:space="preserve">“dinitrogen tetraoxide”</w:t>
      </w:r>
      <w:r>
        <w:t xml:space="preserve">).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name; 1 point for showing both prefixes (di- for 2 N, tetra-/tetr- for 4 O). A student who writes</w:t>
      </w:r>
      <w:r>
        <w:t xml:space="preserve"> </w:t>
      </w:r>
      <w:r>
        <w:t xml:space="preserve">“nitrogen oxide”</w:t>
      </w:r>
      <w:r>
        <w:t xml:space="preserve"> </w:t>
      </w:r>
      <w:r>
        <w:t xml:space="preserve">omitted the counting prefixes — the whole point of covalent naming. Provide feedback that covalent compounds must count atoms with prefixes. NYSSLS: supports HS-PS1-1 / HS-PS1-2.</w:t>
      </w:r>
    </w:p>
    <w:p>
      <w:pPr>
        <w:pStyle w:val="BodyText"/>
      </w:pPr>
      <w:r>
        <w:rPr>
          <w:b/>
          <w:bCs/>
        </w:rPr>
        <w:t xml:space="preserve">4. HNO₃(aq) — nitric acid</w:t>
      </w:r>
    </w:p>
    <w:p>
      <w:pPr>
        <w:pStyle w:val="Compact"/>
        <w:numPr>
          <w:ilvl w:val="0"/>
          <w:numId w:val="1004"/>
        </w:numPr>
      </w:pPr>
      <w:r>
        <w:t xml:space="preserve">Kinds of elements: H + polyatomic ion (NO₃⁻), dissolved in water. Branch:</w:t>
      </w:r>
      <w:r>
        <w:t xml:space="preserve"> </w:t>
      </w:r>
      <w:r>
        <w:rPr>
          <w:b/>
          <w:bCs/>
        </w:rPr>
        <w:t xml:space="preserve">acid (oxyacid)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Polyatomic ion:</w:t>
      </w:r>
      <w:r>
        <w:t xml:space="preserve"> </w:t>
      </w:r>
      <w:r>
        <w:rPr>
          <w:b/>
          <w:bCs/>
        </w:rPr>
        <w:t xml:space="preserve">nitrate</w:t>
      </w:r>
      <w:r>
        <w:t xml:space="preserve"> </w:t>
      </w:r>
      <w:r>
        <w:t xml:space="preserve">(NO₃⁻), which ends in</w:t>
      </w:r>
      <w:r>
        <w:t xml:space="preserve"> </w:t>
      </w:r>
      <w:r>
        <w:rPr>
          <w:b/>
          <w:bCs/>
        </w:rPr>
        <w:t xml:space="preserve">-ate</w:t>
      </w:r>
      <w:r>
        <w:t xml:space="preserve">. The acid rule for an</w:t>
      </w:r>
      <w:r>
        <w:t xml:space="preserve"> </w:t>
      </w:r>
      <w:r>
        <w:rPr>
          <w:i/>
          <w:iCs/>
        </w:rPr>
        <w:t xml:space="preserve">-ate</w:t>
      </w:r>
      <w:r>
        <w:t xml:space="preserve"> </w:t>
      </w:r>
      <w:r>
        <w:t xml:space="preserve">ion is</w:t>
      </w:r>
      <w:r>
        <w:t xml:space="preserve"> </w:t>
      </w:r>
      <w:r>
        <w:rPr>
          <w:b/>
          <w:bCs/>
        </w:rPr>
        <w:t xml:space="preserve">-ic acid</w:t>
      </w:r>
      <w:r>
        <w:t xml:space="preserve">: nitr</w:t>
      </w:r>
      <w:r>
        <w:rPr>
          <w:b/>
          <w:bCs/>
        </w:rPr>
        <w:t xml:space="preserve">ate</w:t>
      </w:r>
      <w:r>
        <w:t xml:space="preserve"> </w:t>
      </w:r>
      <w:r>
        <w:t xml:space="preserve">→ nitr</w:t>
      </w:r>
      <w:r>
        <w:rPr>
          <w:b/>
          <w:bCs/>
        </w:rPr>
        <w:t xml:space="preserve">ic</w:t>
      </w:r>
      <w:r>
        <w:t xml:space="preserve"> </w:t>
      </w:r>
      <w:r>
        <w:t xml:space="preserve">acid. (No</w:t>
      </w:r>
      <w:r>
        <w:t xml:space="preserve"> </w:t>
      </w:r>
      <w:r>
        <w:t xml:space="preserve">“hydro-”</w:t>
      </w:r>
      <w:r>
        <w:t xml:space="preserve"> </w:t>
      </w:r>
      <w:r>
        <w:t xml:space="preserve">because it is an oxyacid, not a binary acid.)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Name: nitric acid.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name; 1 point for identifying the -ate → -ic acid rule (and not adding</w:t>
      </w:r>
      <w:r>
        <w:t xml:space="preserve"> </w:t>
      </w:r>
      <w:r>
        <w:t xml:space="preserve">“hydro-”</w:t>
      </w:r>
      <w:r>
        <w:t xml:space="preserve">). A student who writes</w:t>
      </w:r>
      <w:r>
        <w:t xml:space="preserve"> </w:t>
      </w:r>
      <w:r>
        <w:t xml:space="preserve">“hydronitric acid”</w:t>
      </w:r>
      <w:r>
        <w:t xml:space="preserve"> </w:t>
      </w:r>
      <w:r>
        <w:t xml:space="preserve">applied the binary-acid rule to an oxyacid — clarify that</w:t>
      </w:r>
      <w:r>
        <w:t xml:space="preserve"> </w:t>
      </w:r>
      <w:r>
        <w:t xml:space="preserve">“hydro-”</w:t>
      </w:r>
      <w:r>
        <w:t xml:space="preserve"> </w:t>
      </w:r>
      <w:r>
        <w:t xml:space="preserve">is only for binary acids (H + one nonmetal). NYSSLS: supports HS-PS1-1 / HS-PS1-2.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Li₂O — lithium oxide</w:t>
      </w:r>
    </w:p>
    <w:p>
      <w:pPr>
        <w:pStyle w:val="BodyText"/>
      </w:pPr>
      <w:r>
        <w:t xml:space="preserve">Binary ionic (metal + nonmetal). Cation name (lithium) + oxygen with</w:t>
      </w:r>
      <w:r>
        <w:t xml:space="preserve"> </w:t>
      </w:r>
      <w:r>
        <w:rPr>
          <w:b/>
          <w:bCs/>
        </w:rPr>
        <w:t xml:space="preserve">-ide</w:t>
      </w:r>
      <w:r>
        <w:t xml:space="preserve"> </w:t>
      </w:r>
      <w:r>
        <w:t xml:space="preserve">ending → lithium oxide. Li⁺ and O²⁻ balance 2:1, giving Li₂O; no prefix appears in the name (ionic).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name; 1 point for the binary-ionic branch +</w:t>
      </w:r>
      <w:r>
        <w:t xml:space="preserve"> </w:t>
      </w:r>
      <w:r>
        <w:t xml:space="preserve">“-ide”</w:t>
      </w:r>
      <w:r>
        <w:t xml:space="preserve"> </w:t>
      </w:r>
      <w:r>
        <w:t xml:space="preserve">rule. Reject</w:t>
      </w:r>
      <w:r>
        <w:t xml:space="preserve"> </w:t>
      </w:r>
      <w:r>
        <w:t xml:space="preserve">“dilithium oxide”</w:t>
      </w:r>
      <w:r>
        <w:t xml:space="preserve"> </w:t>
      </w:r>
      <w:r>
        <w:t xml:space="preserve">(prefixes are covalent-only). NYSSLS: supports HS-PS1-1 / HS-PS1-2.</w:t>
      </w:r>
    </w:p>
    <w:p>
      <w:pPr>
        <w:pStyle w:val="BodyText"/>
      </w:pPr>
      <w:r>
        <w:rPr>
          <w:b/>
          <w:bCs/>
        </w:rPr>
        <w:t xml:space="preserve">(b) K₂CO₃ — potassium carbonate</w:t>
      </w:r>
    </w:p>
    <w:p>
      <w:pPr>
        <w:pStyle w:val="BodyText"/>
      </w:pPr>
      <w:r>
        <w:t xml:space="preserve">Ternary (polyatomic) ionic. Cation name (potassium) + the polyatomic ion</w:t>
      </w:r>
      <w:r>
        <w:t xml:space="preserve"> </w:t>
      </w:r>
      <w:r>
        <w:rPr>
          <w:b/>
          <w:bCs/>
        </w:rPr>
        <w:t xml:space="preserve">carbonate</w:t>
      </w:r>
      <w:r>
        <w:t xml:space="preserve"> </w:t>
      </w:r>
      <w:r>
        <w:t xml:space="preserve">(CO₃²⁻, Table E), kept whole. K⁺ and CO₃²⁻ balance 2:1; that count does not appear in the name.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name; 1 point for naming the polyatomic ion (carbonate) and keeping it whole. Reject</w:t>
      </w:r>
      <w:r>
        <w:t xml:space="preserve"> </w:t>
      </w:r>
      <w:r>
        <w:t xml:space="preserve">“potassium carbide”</w:t>
      </w:r>
      <w:r>
        <w:t xml:space="preserve"> </w:t>
      </w:r>
      <w:r>
        <w:t xml:space="preserve">(carbide = C, monatomic) and</w:t>
      </w:r>
      <w:r>
        <w:t xml:space="preserve"> </w:t>
      </w:r>
      <w:r>
        <w:t xml:space="preserve">“potassium tricarbonate”</w:t>
      </w:r>
      <w:r>
        <w:t xml:space="preserve"> </w:t>
      </w:r>
      <w:r>
        <w:t xml:space="preserve">(no prefixes on ionic). NYSSLS: supports HS-PS1-1 / HS-PS1-2.</w:t>
      </w:r>
    </w:p>
    <w:p>
      <w:pPr>
        <w:pStyle w:val="BodyText"/>
      </w:pPr>
      <w:r>
        <w:rPr>
          <w:b/>
          <w:bCs/>
        </w:rPr>
        <w:t xml:space="preserve">(c) SF₆ — sulfur hexafluoride</w:t>
      </w:r>
    </w:p>
    <w:p>
      <w:pPr>
        <w:pStyle w:val="BodyText"/>
      </w:pPr>
      <w:r>
        <w:t xml:space="preserve">Covalent (two nonmetals). Sulfur appears once → no prefix on the first element (drop</w:t>
      </w:r>
      <w:r>
        <w:t xml:space="preserve"> </w:t>
      </w:r>
      <w:r>
        <w:rPr>
          <w:i/>
          <w:iCs/>
        </w:rPr>
        <w:t xml:space="preserve">mono-</w:t>
      </w:r>
      <w:r>
        <w:t xml:space="preserve">); fluorine appears six times →</w:t>
      </w:r>
      <w:r>
        <w:t xml:space="preserve"> </w:t>
      </w:r>
      <w:r>
        <w:rPr>
          <w:b/>
          <w:bCs/>
        </w:rPr>
        <w:t xml:space="preserve">hexa</w:t>
      </w:r>
      <w:r>
        <w:t xml:space="preserve">fluoride.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name; 1 point for the hexa- prefix on fluorine and correctly dropping the prefix on the single sulfur. A student who writes</w:t>
      </w:r>
      <w:r>
        <w:t xml:space="preserve"> </w:t>
      </w:r>
      <w:r>
        <w:t xml:space="preserve">“monosulfur hexafluoride”</w:t>
      </w:r>
      <w:r>
        <w:t xml:space="preserve"> </w:t>
      </w:r>
      <w:r>
        <w:t xml:space="preserve">did not drop</w:t>
      </w:r>
      <w:r>
        <w:t xml:space="preserve"> </w:t>
      </w:r>
      <w:r>
        <w:rPr>
          <w:i/>
          <w:iCs/>
        </w:rPr>
        <w:t xml:space="preserve">mono-</w:t>
      </w:r>
      <w:r>
        <w:t xml:space="preserve"> </w:t>
      </w:r>
      <w:r>
        <w:t xml:space="preserve">on the first element — note the rule. NYSSLS: supports HS-PS1-1 / HS-PS1-2.</w:t>
      </w:r>
    </w:p>
    <w:p>
      <w:pPr>
        <w:pStyle w:val="BodyText"/>
      </w:pPr>
      <w:r>
        <w:rPr>
          <w:b/>
          <w:bCs/>
        </w:rPr>
        <w:t xml:space="preserve">(d) HF(aq) — hydrofluoric acid</w:t>
      </w:r>
    </w:p>
    <w:p>
      <w:pPr>
        <w:pStyle w:val="BodyText"/>
      </w:pPr>
      <w:r>
        <w:t xml:space="preserve">Binary acid (H + one nonmetal, fluorine, dissolved in water). Fluorine → fluoride ends in</w:t>
      </w:r>
      <w:r>
        <w:t xml:space="preserve"> </w:t>
      </w:r>
      <w:r>
        <w:rPr>
          <w:b/>
          <w:bCs/>
        </w:rPr>
        <w:t xml:space="preserve">-ide</w:t>
      </w:r>
      <w:r>
        <w:t xml:space="preserve">, so the binary-acid rule applies:</w:t>
      </w:r>
      <w:r>
        <w:t xml:space="preserve"> </w:t>
      </w:r>
      <w:r>
        <w:rPr>
          <w:b/>
          <w:bCs/>
        </w:rPr>
        <w:t xml:space="preserve">hydro-</w:t>
      </w:r>
      <w:r>
        <w:t xml:space="preserve"> </w:t>
      </w:r>
      <w:r>
        <w:t xml:space="preserve">+ fluor +</w:t>
      </w:r>
      <w:r>
        <w:t xml:space="preserve"> </w:t>
      </w:r>
      <w:r>
        <w:rPr>
          <w:b/>
          <w:bCs/>
        </w:rPr>
        <w:t xml:space="preserve">-ic acid</w:t>
      </w:r>
      <w:r>
        <w:t xml:space="preserve"> </w:t>
      </w:r>
      <w:r>
        <w:t xml:space="preserve">→ hydrofluoric acid.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name; 1 point for applying the binary-acid rule (hydro-…-ic) and not the oxyacid rule. A student who writes</w:t>
      </w:r>
      <w:r>
        <w:t xml:space="preserve"> </w:t>
      </w:r>
      <w:r>
        <w:t xml:space="preserve">“hydrogen fluoride”</w:t>
      </w:r>
      <w:r>
        <w:t xml:space="preserve"> </w:t>
      </w:r>
      <w:r>
        <w:t xml:space="preserve">named the gas, not the aqueous acid — clarify that the (aq) signals the acid name. NYSSLS: supports HS-PS1-1 / HS-PS1-2.</w:t>
      </w:r>
    </w:p>
    <w:p>
      <w:pPr>
        <w:pStyle w:val="BodyText"/>
      </w:pPr>
      <w:r>
        <w:rPr>
          <w:b/>
          <w:bCs/>
        </w:rPr>
        <w:t xml:space="preserve">(e) Why a precise naming system matters (uses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pattern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atoms</w:t>
      </w:r>
      <w:r>
        <w:rPr>
          <w:b/>
          <w:bCs/>
        </w:rPr>
        <w:t xml:space="preserve">):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A precise naming system follows a fixed</w:t>
      </w:r>
      <w:r>
        <w:t xml:space="preserve"> </w:t>
      </w:r>
      <w:r>
        <w:rPr>
          <w:b/>
          <w:bCs/>
        </w:rPr>
        <w:t xml:space="preserve">pattern</w:t>
      </w:r>
      <w:r>
        <w:t xml:space="preserve"> </w:t>
      </w:r>
      <w:r>
        <w:t xml:space="preserve">that encodes exactly which</w:t>
      </w:r>
      <w:r>
        <w:t xml:space="preserve"> </w:t>
      </w:r>
      <w:r>
        <w:rPr>
          <w:b/>
          <w:bCs/>
        </w:rPr>
        <w:t xml:space="preserve">atoms</w:t>
      </w:r>
      <w:r>
        <w:t xml:space="preserve"> </w:t>
      </w:r>
      <w:r>
        <w:t xml:space="preserve">are present and how many, so two substances that look almost the same — like CO and CO₂ — can never be confused, because their names differ in a way that always maps back to the actual atoms.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(i) uses the words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atoms</w:t>
      </w:r>
      <w:r>
        <w:t xml:space="preserve">, and (ii) connects the precise name to telling substances apart / preventing dangerous confusion, earns full credit. A response that uses the two words but only restates</w:t>
      </w:r>
      <w:r>
        <w:t xml:space="preserve"> </w:t>
      </w:r>
      <w:r>
        <w:t xml:space="preserve">“naming is important”</w:t>
      </w:r>
      <w:r>
        <w:t xml:space="preserve"> </w:t>
      </w:r>
      <w:r>
        <w:t xml:space="preserve">without the prevent-confusion idea earns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correctly naming three of the four compounds in (a)–(d); 1 point for an (e) sentence that uses both required words and explains that the pattern maps a name to specific atoms/counts so substances are not confused. NYSSLS: supports HS-PS1-1 / HS-PS1-2.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5"/>
        </w:numPr>
      </w:pPr>
      <w:r>
        <w:t xml:space="preserve">A specific</w:t>
      </w:r>
      <w:r>
        <w:t xml:space="preserve"> </w:t>
      </w:r>
      <w:r>
        <w:t xml:space="preserve">“click”</w:t>
      </w:r>
      <w:r>
        <w:t xml:space="preserve"> </w:t>
      </w:r>
      <w:r>
        <w:t xml:space="preserve">moment from the card game or flow-chart — e.g.,</w:t>
      </w:r>
      <w:r>
        <w:t xml:space="preserve"> </w:t>
      </w:r>
      <w:r>
        <w:t xml:space="preserve">“It clicked when I saw that only the two-nonmetal pile had</w:t>
      </w:r>
      <w:r>
        <w:t xml:space="preserve"> </w:t>
      </w:r>
      <w:r>
        <w:t xml:space="preserve">‘di-’</w:t>
      </w:r>
      <w:r>
        <w:t xml:space="preserve"> </w:t>
      </w:r>
      <w:r>
        <w:t xml:space="preserve">and</w:t>
      </w:r>
      <w:r>
        <w:t xml:space="preserve"> </w:t>
      </w:r>
      <w:r>
        <w:t xml:space="preserve">‘tetra-’</w:t>
      </w:r>
      <w:r>
        <w:t xml:space="preserve"> </w:t>
      </w:r>
      <w:r>
        <w:t xml:space="preserve">in the names”</w:t>
      </w:r>
      <w:r>
        <w:t xml:space="preserve"> </w:t>
      </w:r>
      <w:r>
        <w:t xml:space="preserve">— rather than a generic</w:t>
      </w:r>
      <w:r>
        <w:t xml:space="preserve"> </w:t>
      </w:r>
      <w:r>
        <w:t xml:space="preserve">“it made sense.”</w:t>
      </w:r>
      <w:r>
        <w:t xml:space="preserve"> </w:t>
      </w:r>
      <w:r>
        <w:t xml:space="preserve">Students who can point to the inductive moment have internalized the</w:t>
      </w:r>
      <w:r>
        <w:t xml:space="preserve"> </w:t>
      </w:r>
      <w:r>
        <w:rPr>
          <w:i/>
          <w:iCs/>
        </w:rPr>
        <w:t xml:space="preserve">pattern</w:t>
      </w:r>
      <w:r>
        <w:t xml:space="preserve">, not just memorized rules.</w:t>
      </w:r>
    </w:p>
    <w:p>
      <w:pPr>
        <w:pStyle w:val="Compact"/>
        <w:numPr>
          <w:ilvl w:val="0"/>
          <w:numId w:val="1005"/>
        </w:numPr>
      </w:pPr>
      <w:r>
        <w:t xml:space="preserve">Naming a tablemate who helped —</w:t>
      </w:r>
      <w:r>
        <w:t xml:space="preserve"> </w:t>
      </w:r>
      <w:r>
        <w:t xml:space="preserve">“Marcus caught that I left a charge on CaCl, so we added a second chlorine”</w:t>
      </w:r>
      <w:r>
        <w:t xml:space="preserve"> </w:t>
      </w:r>
      <w:r>
        <w:t xml:space="preserve">— signals that the ACTIVE LEARNING card structure supported collaboration. Note these students as evidence the group format is working.</w:t>
      </w:r>
    </w:p>
    <w:p>
      <w:pPr>
        <w:pStyle w:val="Compact"/>
        <w:numPr>
          <w:ilvl w:val="0"/>
          <w:numId w:val="1005"/>
        </w:numPr>
      </w:pPr>
      <w:r>
        <w:t xml:space="preserve">Any response that links a naming rule back to the opening phenomenon (a small name difference flipping a poison to a safe substance) shows the strongest transfer of the Patterns CCC.</w:t>
      </w:r>
    </w:p>
    <w:p>
      <w:pPr>
        <w:pStyle w:val="FirstParagraph"/>
      </w:pPr>
      <w:r>
        <w:t xml:space="preserve">If a student’s Exit Ticket shows correct branch choices but wrong endings (e.g.,</w:t>
      </w:r>
      <w:r>
        <w:t xml:space="preserve"> </w:t>
      </w:r>
      <w:r>
        <w:t xml:space="preserve">“lithium oxite”</w:t>
      </w:r>
      <w:r>
        <w:t xml:space="preserve"> </w:t>
      </w:r>
      <w:r>
        <w:t xml:space="preserve">or</w:t>
      </w:r>
      <w:r>
        <w:t xml:space="preserve"> </w:t>
      </w:r>
      <w:r>
        <w:t xml:space="preserve">“carbon dioxite”</w:t>
      </w:r>
      <w:r>
        <w:t xml:space="preserve">), the error is in the suffix rules, not the routing — a brief one-on-one on the -ide / -ate / -ite endings at the start of the next lesson should be sufficient. If a student applied Greek prefixes to an ionic compound (e.g.,</w:t>
      </w:r>
      <w:r>
        <w:t xml:space="preserve"> </w:t>
      </w:r>
      <w:r>
        <w:t xml:space="preserve">“dilithium oxide”</w:t>
      </w:r>
      <w:r>
        <w:t xml:space="preserve">), reteach the ionic-vs-covalent prefix distinction before the next lesson builds on these names.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2026-06-01T19:45:31Z</dcterms:created>
  <dcterms:modified xsi:type="dcterms:W3CDTF">2026-06-01T19:45:31Z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