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naming-compounds-student-notes"/>
    <w:p>
      <w:pPr>
        <w:pStyle w:val="Heading1"/>
      </w:pPr>
      <w:r>
        <w:t xml:space="preserve">Naming Compounds — Student Notes</w:t>
      </w:r>
    </w:p>
    <w:p>
      <w:pPr>
        <w:pStyle w:val="FirstParagraph"/>
      </w:pPr>
      <w:r>
        <w:rPr>
          <w:b/>
          <w:bCs/>
        </w:rPr>
        <w:t xml:space="preserve">Unit: Chemical Bonding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Classify a compound as</w:t>
      </w:r>
      <w:r>
        <w:t xml:space="preserve"> </w:t>
      </w:r>
      <w:r>
        <w:rPr>
          <w:b/>
          <w:bCs/>
        </w:rPr>
        <w:t xml:space="preserve">binary ionic</w:t>
      </w:r>
      <w:r>
        <w:t xml:space="preserve">,</w:t>
      </w:r>
      <w:r>
        <w:t xml:space="preserve"> </w:t>
      </w:r>
      <w:r>
        <w:rPr>
          <w:b/>
          <w:bCs/>
        </w:rPr>
        <w:t xml:space="preserve">ternary (polyatomic) ionic</w:t>
      </w:r>
      <w:r>
        <w:t xml:space="preserve">,</w:t>
      </w:r>
      <w:r>
        <w:t xml:space="preserve"> </w:t>
      </w:r>
      <w:r>
        <w:rPr>
          <w:b/>
          <w:bCs/>
        </w:rPr>
        <w:t xml:space="preserve">covalent</w:t>
      </w:r>
      <w:r>
        <w:t xml:space="preserve">, or</w:t>
      </w:r>
      <w:r>
        <w:t xml:space="preserve"> </w:t>
      </w:r>
      <w:r>
        <w:rPr>
          <w:b/>
          <w:bCs/>
        </w:rPr>
        <w:t xml:space="preserve">acid</w:t>
      </w:r>
      <w:r>
        <w:t xml:space="preserve"> </w:t>
      </w:r>
      <w:r>
        <w:t xml:space="preserve">by looking at its formula.</w:t>
      </w:r>
    </w:p>
    <w:p>
      <w:pPr>
        <w:pStyle w:val="Compact"/>
        <w:numPr>
          <w:ilvl w:val="0"/>
          <w:numId w:val="1001"/>
        </w:numPr>
      </w:pPr>
      <w:r>
        <w:t xml:space="preserve">Name a binary ionic compound (cation name + anion root +</w:t>
      </w:r>
      <w:r>
        <w:t xml:space="preserve"> </w:t>
      </w:r>
      <w:r>
        <w:rPr>
          <w:b/>
          <w:bCs/>
        </w:rPr>
        <w:t xml:space="preserve">-ide</w:t>
      </w:r>
      <w:r>
        <w:t xml:space="preserve">) and a ternary ionic compound (cation name + polyatomic ion name from Table E).</w:t>
      </w:r>
    </w:p>
    <w:p>
      <w:pPr>
        <w:pStyle w:val="Compact"/>
        <w:numPr>
          <w:ilvl w:val="0"/>
          <w:numId w:val="1001"/>
        </w:numPr>
      </w:pPr>
      <w:r>
        <w:t xml:space="preserve">Name a</w:t>
      </w:r>
      <w:r>
        <w:t xml:space="preserve"> </w:t>
      </w:r>
      <w:r>
        <w:rPr>
          <w:b/>
          <w:bCs/>
        </w:rPr>
        <w:t xml:space="preserve">covalent</w:t>
      </w:r>
      <w:r>
        <w:t xml:space="preserve"> </w:t>
      </w:r>
      <w:r>
        <w:t xml:space="preserve">compound using Greek prefixes on both elements.</w:t>
      </w:r>
    </w:p>
    <w:p>
      <w:pPr>
        <w:pStyle w:val="Compact"/>
        <w:numPr>
          <w:ilvl w:val="0"/>
          <w:numId w:val="1001"/>
        </w:numPr>
      </w:pPr>
      <w:r>
        <w:t xml:space="preserve">Name an</w:t>
      </w:r>
      <w:r>
        <w:t xml:space="preserve"> </w:t>
      </w:r>
      <w:r>
        <w:rPr>
          <w:b/>
          <w:bCs/>
        </w:rPr>
        <w:t xml:space="preserve">acid</w:t>
      </w:r>
      <w:r>
        <w:t xml:space="preserve"> </w:t>
      </w:r>
      <w:r>
        <w:t xml:space="preserve">using the IUPAC acid rules (</w:t>
      </w:r>
      <w:r>
        <w:rPr>
          <w:b/>
          <w:bCs/>
        </w:rPr>
        <w:t xml:space="preserve">-ide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hydro-…-ic acid</w:t>
      </w:r>
      <w:r>
        <w:t xml:space="preserve">;</w:t>
      </w:r>
      <w:r>
        <w:t xml:space="preserve"> </w:t>
      </w:r>
      <w:r>
        <w:rPr>
          <w:b/>
          <w:bCs/>
        </w:rPr>
        <w:t xml:space="preserve">-ate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-ic acid</w:t>
      </w:r>
      <w:r>
        <w:t xml:space="preserve">;</w:t>
      </w:r>
      <w:r>
        <w:t xml:space="preserve"> </w:t>
      </w:r>
      <w:r>
        <w:rPr>
          <w:b/>
          <w:bCs/>
        </w:rPr>
        <w:t xml:space="preserve">-ite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-ous acid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Explain, using</w:t>
      </w:r>
      <w:r>
        <w:t xml:space="preserve"> </w:t>
      </w:r>
      <w:r>
        <w:rPr>
          <w:b/>
          <w:bCs/>
        </w:rPr>
        <w:t xml:space="preserve">Patterns</w:t>
      </w:r>
      <w:r>
        <w:t xml:space="preserve">, why a precise naming system keeps similar-looking substances from being confused.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polyatomic 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covalent (molecular) compound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acid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Naming feels complicated only until you see it is __________ small rule sets, and one question routes every formula to exactly one of them. That first question is always:</w:t>
      </w:r>
      <w:r>
        <w:t xml:space="preserve"> </w:t>
      </w:r>
      <w:r>
        <w:rPr>
          <w:i/>
          <w:iCs/>
        </w:rPr>
        <w:t xml:space="preserve">what kinds of __________ are present?</w:t>
      </w:r>
    </w:p>
    <w:p>
      <w:pPr>
        <w:pStyle w:val="BodyText"/>
      </w:pPr>
      <w:r>
        <w:rPr>
          <w:b/>
          <w:bCs/>
        </w:rPr>
        <w:t xml:space="preserve">The one routing question — fill in each branch: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kinds of elements?</w:t>
            </w:r>
          </w:p>
        </w:tc>
        <w:tc>
          <w:tcPr/>
          <w:p>
            <w:pPr>
              <w:pStyle w:val="Compact"/>
            </w:pPr>
            <w:r>
              <w:t xml:space="preserve">Type of compound</w:t>
            </w:r>
          </w:p>
        </w:tc>
        <w:tc>
          <w:tcPr/>
          <w:p>
            <w:pPr>
              <w:pStyle w:val="Compact"/>
            </w:pPr>
            <w:r>
              <w:t xml:space="preserve">How you name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 + nonmetal (single anion)</w:t>
            </w:r>
          </w:p>
        </w:tc>
        <w:tc>
          <w:tcPr/>
          <w:p>
            <w:pPr>
              <w:pStyle w:val="Compact"/>
            </w:pPr>
            <w:r>
              <w:t xml:space="preserve">binary ionic</w:t>
            </w:r>
          </w:p>
        </w:tc>
        <w:tc>
          <w:tcPr/>
          <w:p>
            <w:pPr>
              <w:pStyle w:val="Compact"/>
            </w:pPr>
            <w:r>
              <w:t xml:space="preserve">cation name + anion root +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 + polyatomic ion</w:t>
            </w:r>
          </w:p>
        </w:tc>
        <w:tc>
          <w:tcPr/>
          <w:p>
            <w:pPr>
              <w:pStyle w:val="Compact"/>
            </w:pPr>
            <w:r>
              <w:t xml:space="preserve">ternary ionic</w:t>
            </w:r>
          </w:p>
        </w:tc>
        <w:tc>
          <w:tcPr/>
          <w:p>
            <w:pPr>
              <w:pStyle w:val="Compact"/>
            </w:pPr>
            <w:r>
              <w:t xml:space="preserve">cation name + the polyatomic ion’s __________ name (kept whole)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nonmetals</w:t>
            </w:r>
          </w:p>
        </w:tc>
        <w:tc>
          <w:tcPr/>
          <w:p>
            <w:pPr>
              <w:pStyle w:val="Compact"/>
            </w:pPr>
            <w:r>
              <w:t xml:space="preserve">covalent</w:t>
            </w:r>
          </w:p>
        </w:tc>
        <w:tc>
          <w:tcPr/>
          <w:p>
            <w:pPr>
              <w:pStyle w:val="Compact"/>
            </w:pPr>
            <w:r>
              <w:t xml:space="preserve">__________ prefixes on both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Begins with H, dissolved in water</w:t>
            </w:r>
          </w:p>
        </w:tc>
        <w:tc>
          <w:tcPr/>
          <w:p>
            <w:pPr>
              <w:pStyle w:val="Compact"/>
            </w:pPr>
            <w:r>
              <w:t xml:space="preserve">acid</w:t>
            </w:r>
          </w:p>
        </w:tc>
        <w:tc>
          <w:tcPr/>
          <w:p>
            <w:pPr>
              <w:pStyle w:val="Compact"/>
            </w:pPr>
            <w:r>
              <w:t xml:space="preserve">the __________ rules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Greek prefixes for covalent compounds (fill in the count):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mono-</w:t>
            </w:r>
          </w:p>
        </w:tc>
        <w:tc>
          <w:tcPr/>
          <w:p>
            <w:pPr>
              <w:pStyle w:val="Compact"/>
            </w:pPr>
            <w:r>
              <w:t xml:space="preserve">di-</w:t>
            </w:r>
          </w:p>
        </w:tc>
        <w:tc>
          <w:tcPr/>
          <w:p>
            <w:pPr>
              <w:pStyle w:val="Compact"/>
            </w:pPr>
            <w:r>
              <w:t xml:space="preserve">tri-</w:t>
            </w:r>
          </w:p>
        </w:tc>
        <w:tc>
          <w:tcPr/>
          <w:p>
            <w:pPr>
              <w:pStyle w:val="Compact"/>
            </w:pPr>
            <w:r>
              <w:t xml:space="preserve">tetra-</w:t>
            </w:r>
          </w:p>
        </w:tc>
        <w:tc>
          <w:tcPr/>
          <w:p>
            <w:pPr>
              <w:pStyle w:val="Compact"/>
            </w:pPr>
            <w:r>
              <w:t xml:space="preserve">penta-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lockText"/>
      </w:pPr>
      <w:r>
        <w:t xml:space="preserve">Special rule: you</w:t>
      </w:r>
      <w:r>
        <w:t xml:space="preserve"> </w:t>
      </w:r>
      <w:r>
        <w:rPr>
          <w:b/>
          <w:bCs/>
        </w:rPr>
        <w:t xml:space="preserve">drop the prefix __________</w:t>
      </w:r>
      <w:r>
        <w:t xml:space="preserve"> </w:t>
      </w:r>
      <w:r>
        <w:t xml:space="preserve">on the very first element. CO is</w:t>
      </w:r>
      <w:r>
        <w:t xml:space="preserve"> </w:t>
      </w:r>
      <w:r>
        <w:t xml:space="preserve">“carbon monoxide,”</w:t>
      </w:r>
      <w:r>
        <w:t xml:space="preserve"> </w:t>
      </w:r>
      <w:r>
        <w:t xml:space="preserve">not</w:t>
      </w:r>
      <w:r>
        <w:t xml:space="preserve"> </w:t>
      </w:r>
      <w:r>
        <w:t xml:space="preserve">“monocarbon monoxide.”</w:t>
      </w:r>
    </w:p>
    <w:p>
      <w:pPr>
        <w:pStyle w:val="FirstParagraph"/>
      </w:pPr>
      <w:r>
        <w:rPr>
          <w:b/>
          <w:bCs/>
        </w:rPr>
        <w:t xml:space="preserve">The acid rules (fill in the ending):</w:t>
      </w:r>
    </w:p>
    <w:p>
      <w:pPr>
        <w:pStyle w:val="Compact"/>
        <w:numPr>
          <w:ilvl w:val="0"/>
          <w:numId w:val="1003"/>
        </w:numPr>
      </w:pPr>
      <w:r>
        <w:t xml:space="preserve">Anion ends in</w:t>
      </w:r>
      <w:r>
        <w:t xml:space="preserve"> </w:t>
      </w:r>
      <w:r>
        <w:rPr>
          <w:b/>
          <w:bCs/>
        </w:rPr>
        <w:t xml:space="preserve">-ide</w:t>
      </w:r>
      <w:r>
        <w:t xml:space="preserve"> </w:t>
      </w:r>
      <w:r>
        <w:t xml:space="preserve">(e.g., chloride) → name the acid</w:t>
      </w:r>
      <w:r>
        <w:t xml:space="preserve"> </w:t>
      </w:r>
      <w:r>
        <w:rPr>
          <w:b/>
          <w:bCs/>
        </w:rPr>
        <w:t xml:space="preserve">hydro-…-__________ acid</w:t>
      </w:r>
      <w:r>
        <w:t xml:space="preserve"> </w:t>
      </w:r>
      <w:r>
        <w:t xml:space="preserve">→ HCl(aq) = __________ acid</w:t>
      </w:r>
    </w:p>
    <w:p>
      <w:pPr>
        <w:pStyle w:val="Compact"/>
        <w:numPr>
          <w:ilvl w:val="0"/>
          <w:numId w:val="1003"/>
        </w:numPr>
      </w:pPr>
      <w:r>
        <w:t xml:space="preserve">Polyatomic ion ends in</w:t>
      </w:r>
      <w:r>
        <w:t xml:space="preserve"> </w:t>
      </w:r>
      <w:r>
        <w:rPr>
          <w:b/>
          <w:bCs/>
        </w:rPr>
        <w:t xml:space="preserve">-ate</w:t>
      </w:r>
      <w:r>
        <w:t xml:space="preserve"> </w:t>
      </w:r>
      <w:r>
        <w:t xml:space="preserve">(e.g., sulfate) → name the acid</w:t>
      </w:r>
      <w:r>
        <w:t xml:space="preserve"> </w:t>
      </w:r>
      <w:r>
        <w:rPr>
          <w:b/>
          <w:bCs/>
        </w:rPr>
        <w:t xml:space="preserve">-__________ acid</w:t>
      </w:r>
      <w:r>
        <w:t xml:space="preserve"> </w:t>
      </w:r>
      <w:r>
        <w:t xml:space="preserve">→ H₂SO₄(aq) = __________ acid</w:t>
      </w:r>
    </w:p>
    <w:p>
      <w:pPr>
        <w:pStyle w:val="Compact"/>
        <w:numPr>
          <w:ilvl w:val="0"/>
          <w:numId w:val="1003"/>
        </w:numPr>
      </w:pPr>
      <w:r>
        <w:t xml:space="preserve">Polyatomic ion ends in</w:t>
      </w:r>
      <w:r>
        <w:t xml:space="preserve"> </w:t>
      </w:r>
      <w:r>
        <w:rPr>
          <w:b/>
          <w:bCs/>
        </w:rPr>
        <w:t xml:space="preserve">-ite</w:t>
      </w:r>
      <w:r>
        <w:t xml:space="preserve"> </w:t>
      </w:r>
      <w:r>
        <w:t xml:space="preserve">(e.g., sulfite) → name the acid</w:t>
      </w:r>
      <w:r>
        <w:t xml:space="preserve"> </w:t>
      </w:r>
      <w:r>
        <w:rPr>
          <w:b/>
          <w:bCs/>
        </w:rPr>
        <w:t xml:space="preserve">-__________ acid</w:t>
      </w:r>
      <w:r>
        <w:t xml:space="preserve"> </w:t>
      </w:r>
      <w:r>
        <w:t xml:space="preserve">→ H₂SO₃(aq) = __________ acid</w:t>
      </w:r>
    </w:p>
    <w:p>
      <w:pPr>
        <w:pStyle w:val="FirstParagraph"/>
      </w:pPr>
      <w:r>
        <w:rPr>
          <w:b/>
          <w:bCs/>
        </w:rPr>
        <w:t xml:space="preserve">The figure — your decision flow-chart for the whole period:</w:t>
      </w:r>
    </w:p>
    <w:p>
      <w:pPr>
        <w:pStyle w:val="CaptionedFigure"/>
      </w:pPr>
      <w:r>
        <w:drawing>
          <wp:inline>
            <wp:extent cx="6121400" cy="4668502"/>
            <wp:effectExtent b="0" l="0" r="0" t="0"/>
            <wp:docPr descr="Decision flow-chart for naming compounds. A top box ‘Start: a chemical formula’ leads to a decision box ‘What kinds of elements?’ that branches three ways: ‘Metal + nonmetal (IONIC)’, ‘Two nonmetals (COVALENT)’, and ‘Begins with H, in water (ACID)’. The ionic branch splits into ‘Monatomic anion: name + -ide’ and ‘Polyatomic ion: keep its name’. The covalent branch leads to ‘Greek prefixes for BOTH elements’. The acid branch leads to a rule box for converting -ide, -ate, and -ite endings into acid names. The bottom row shows worked examples: NaCl = sodium chloride, CaCO3 = calcium carbonate, CO2 = carbon dioxide, HCl(aq) = hydrochloric acid." title="" id="12" name="Picture"/>
            <a:graphic>
              <a:graphicData uri="http://schemas.openxmlformats.org/drawingml/2006/picture">
                <pic:pic>
                  <pic:nvPicPr>
                    <pic:cNvPr descr="figures/naming_flowchar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668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flow-chart for naming compounds. A top box</w:t>
      </w:r>
      <w:r>
        <w:t xml:space="preserve"> </w:t>
      </w:r>
      <w:r>
        <w:t xml:space="preserve">‘Start: a chemical formula’</w:t>
      </w:r>
      <w:r>
        <w:t xml:space="preserve"> </w:t>
      </w:r>
      <w:r>
        <w:t xml:space="preserve">leads to a decision box</w:t>
      </w:r>
      <w:r>
        <w:t xml:space="preserve"> </w:t>
      </w:r>
      <w:r>
        <w:t xml:space="preserve">‘What kinds of elements?’</w:t>
      </w:r>
      <w:r>
        <w:t xml:space="preserve"> </w:t>
      </w:r>
      <w:r>
        <w:t xml:space="preserve">that branches three ways:</w:t>
      </w:r>
      <w:r>
        <w:t xml:space="preserve"> </w:t>
      </w:r>
      <w:r>
        <w:t xml:space="preserve">‘Metal + nonmetal (IONIC)’</w:t>
      </w:r>
      <w:r>
        <w:t xml:space="preserve">,</w:t>
      </w:r>
      <w:r>
        <w:t xml:space="preserve"> </w:t>
      </w:r>
      <w:r>
        <w:t xml:space="preserve">‘Two nonmetals (COVALENT)’</w:t>
      </w:r>
      <w:r>
        <w:t xml:space="preserve">, and</w:t>
      </w:r>
      <w:r>
        <w:t xml:space="preserve"> </w:t>
      </w:r>
      <w:r>
        <w:t xml:space="preserve">‘Begins with H, in water (ACID)’</w:t>
      </w:r>
      <w:r>
        <w:t xml:space="preserve">. The ionic branch splits into</w:t>
      </w:r>
      <w:r>
        <w:t xml:space="preserve"> </w:t>
      </w:r>
      <w:r>
        <w:t xml:space="preserve">‘Monatomic anion: name + -ide’</w:t>
      </w:r>
      <w:r>
        <w:t xml:space="preserve"> </w:t>
      </w:r>
      <w:r>
        <w:t xml:space="preserve">and</w:t>
      </w:r>
      <w:r>
        <w:t xml:space="preserve"> </w:t>
      </w:r>
      <w:r>
        <w:t xml:space="preserve">‘Polyatomic ion: keep its name’</w:t>
      </w:r>
      <w:r>
        <w:t xml:space="preserve">. The covalent branch leads to</w:t>
      </w:r>
      <w:r>
        <w:t xml:space="preserve"> </w:t>
      </w:r>
      <w:r>
        <w:t xml:space="preserve">‘Greek prefixes for BOTH elements’</w:t>
      </w:r>
      <w:r>
        <w:t xml:space="preserve">. The acid branch leads to a rule box for converting -ide, -ate, and -ite endings into acid names. The bottom row shows worked examples: NaCl = sodium chloride, CaCO3 = calcium carbonate, CO2 = carbon dioxide, HCl(aq) = hydrochloric acid.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The very first question the chart asks is: _______________________________________________</w:t>
      </w:r>
    </w:p>
    <w:p>
      <w:pPr>
        <w:pStyle w:val="Compact"/>
        <w:numPr>
          <w:ilvl w:val="0"/>
          <w:numId w:val="1004"/>
        </w:numPr>
      </w:pPr>
      <w:r>
        <w:t xml:space="preserve">The branch that uses counting prefixes is the __________ branch.</w:t>
      </w:r>
    </w:p>
    <w:p>
      <w:pPr>
        <w:pStyle w:val="Compact"/>
        <w:numPr>
          <w:ilvl w:val="0"/>
          <w:numId w:val="1004"/>
        </w:numPr>
      </w:pPr>
      <w:r>
        <w:t xml:space="preserve">The branch that keeps an ion’s name whole (no</w:t>
      </w:r>
      <w:r>
        <w:t xml:space="preserve"> </w:t>
      </w:r>
      <w:r>
        <w:t xml:space="preserve">“-ide”</w:t>
      </w:r>
      <w:r>
        <w:t xml:space="preserve">) is the __________ branch.</w:t>
      </w:r>
    </w:p>
    <w:p>
      <w:pPr>
        <w:pStyle w:val="FirstParagraph"/>
      </w:pPr>
      <w:r>
        <w:rPr>
          <w:b/>
          <w:bCs/>
        </w:rPr>
        <w:t xml:space="preserve">Building an ionic formula — charge balance:</w:t>
      </w:r>
      <w:r>
        <w:t xml:space="preserve"> </w:t>
      </w:r>
      <w:r>
        <w:t xml:space="preserve">The subscripts come from making the total positive charge __________ the total negative charge. Cross the charge magnitudes: Al³⁺ with O²⁻ gives Al__O__.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Name each of these three compounds, one per type.</w:t>
      </w:r>
    </w:p>
    <w:p>
      <w:pPr>
        <w:pStyle w:val="BodyText"/>
      </w:pPr>
      <w:r>
        <w:rPr>
          <w:b/>
          <w:bCs/>
        </w:rPr>
        <w:t xml:space="preserve">Part A — Binary ionic: CaCl₂</w:t>
      </w:r>
    </w:p>
    <w:p>
      <w:pPr>
        <w:pStyle w:val="Compact"/>
        <w:numPr>
          <w:ilvl w:val="0"/>
          <w:numId w:val="1005"/>
        </w:numPr>
      </w:pPr>
      <w:r>
        <w:t xml:space="preserve">Kinds of elements: metal (Ca) + nonmetal (Cl) → branch: ___________________</w:t>
      </w:r>
    </w:p>
    <w:p>
      <w:pPr>
        <w:pStyle w:val="Compact"/>
        <w:numPr>
          <w:ilvl w:val="0"/>
          <w:numId w:val="1005"/>
        </w:numPr>
      </w:pPr>
      <w:r>
        <w:t xml:space="preserve">Cation name: ___________ Anion root + ending: chlor + ___________ = ___________</w:t>
      </w:r>
    </w:p>
    <w:p>
      <w:pPr>
        <w:pStyle w:val="Compact"/>
        <w:numPr>
          <w:ilvl w:val="0"/>
          <w:numId w:val="1005"/>
        </w:numPr>
      </w:pPr>
      <w:r>
        <w:t xml:space="preserve">Why two chlorines? Ca is __________ and Cl is __________, so __________ Cl⁻ balance one Ca²⁺ (but the name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count — no prefix on ionic).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</w:t>
      </w:r>
    </w:p>
    <w:p>
      <w:pPr>
        <w:pStyle w:val="FirstParagraph"/>
      </w:pPr>
      <w:r>
        <w:rPr>
          <w:b/>
          <w:bCs/>
        </w:rPr>
        <w:t xml:space="preserve">Part B — Covalent: P₂O₅</w:t>
      </w:r>
    </w:p>
    <w:p>
      <w:pPr>
        <w:pStyle w:val="Compact"/>
        <w:numPr>
          <w:ilvl w:val="0"/>
          <w:numId w:val="1006"/>
        </w:numPr>
      </w:pPr>
      <w:r>
        <w:t xml:space="preserve">Kinds of elements: two nonmetals → branch: ___________________</w:t>
      </w:r>
    </w:p>
    <w:p>
      <w:pPr>
        <w:pStyle w:val="Compact"/>
        <w:numPr>
          <w:ilvl w:val="0"/>
          <w:numId w:val="1006"/>
        </w:numPr>
      </w:pPr>
      <w:r>
        <w:t xml:space="preserve">Prefix on P (there are 2): __________ → __________phosphorus</w:t>
      </w:r>
    </w:p>
    <w:p>
      <w:pPr>
        <w:pStyle w:val="Compact"/>
        <w:numPr>
          <w:ilvl w:val="0"/>
          <w:numId w:val="1006"/>
        </w:numPr>
      </w:pPr>
      <w:r>
        <w:t xml:space="preserve">Prefix on O (there are 5): __________ → __________oxide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</w:t>
      </w:r>
    </w:p>
    <w:p>
      <w:pPr>
        <w:pStyle w:val="FirstParagraph"/>
      </w:pPr>
      <w:r>
        <w:rPr>
          <w:b/>
          <w:bCs/>
        </w:rPr>
        <w:t xml:space="preserve">Part C — Acid: H₂SO₄(aq)</w:t>
      </w:r>
    </w:p>
    <w:p>
      <w:pPr>
        <w:pStyle w:val="Compact"/>
        <w:numPr>
          <w:ilvl w:val="0"/>
          <w:numId w:val="1007"/>
        </w:numPr>
      </w:pPr>
      <w:r>
        <w:t xml:space="preserve">Begins with H, dissolved in water → branch: ___________________</w:t>
      </w:r>
    </w:p>
    <w:p>
      <w:pPr>
        <w:pStyle w:val="Compact"/>
        <w:numPr>
          <w:ilvl w:val="0"/>
          <w:numId w:val="1007"/>
        </w:numPr>
      </w:pPr>
      <w:r>
        <w:t xml:space="preserve">Polyatomic ion: SO₄²⁻ = ___________ (ends in</w:t>
      </w:r>
      <w:r>
        <w:t xml:space="preserve"> </w:t>
      </w:r>
      <w:r>
        <w:rPr>
          <w:b/>
          <w:bCs/>
        </w:rPr>
        <w:t xml:space="preserve">-ate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Acid rule for</w:t>
      </w:r>
      <w:r>
        <w:t xml:space="preserve"> </w:t>
      </w:r>
      <w:r>
        <w:rPr>
          <w:b/>
          <w:bCs/>
        </w:rPr>
        <w:t xml:space="preserve">-ate</w:t>
      </w:r>
      <w:r>
        <w:t xml:space="preserve">: →</w:t>
      </w:r>
      <w:r>
        <w:t xml:space="preserve"> </w:t>
      </w:r>
      <w:r>
        <w:rPr>
          <w:b/>
          <w:bCs/>
        </w:rPr>
        <w:t xml:space="preserve">-___________ acid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</w:t>
      </w:r>
    </w:p>
    <w:p>
      <w:pPr>
        <w:pStyle w:val="FirstParagraph"/>
      </w:pPr>
      <w:r>
        <w:rPr>
          <w:b/>
          <w:bCs/>
        </w:rPr>
        <w:t xml:space="preserve">Because / But / So (covalent vs. ionic counting):</w:t>
      </w:r>
    </w:p>
    <w:p>
      <w:pPr>
        <w:pStyle w:val="BodyText"/>
      </w:pPr>
      <w:r>
        <w:t xml:space="preserve">P₂O₅ needs prefixes in its name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CaCl₂ does not need prefixes 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why covalent ratios vary;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explain why ionic ratios are fixed by charge;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which compound type uses prefixes.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 (Patterns):</w:t>
      </w:r>
    </w:p>
    <w:p>
      <w:pPr>
        <w:pStyle w:val="BlockText"/>
      </w:pPr>
      <w:r>
        <w:t xml:space="preserve">Chemistry’s naming system is really just __________ rule sets routed by one question —</w:t>
      </w:r>
      <w:r>
        <w:t xml:space="preserve"> </w:t>
      </w:r>
      <w:r>
        <w:rPr>
          <w:i/>
          <w:iCs/>
        </w:rPr>
        <w:t xml:space="preserve">what kinds of elements?</w:t>
      </w:r>
      <w:r>
        <w:t xml:space="preserve"> </w:t>
      </w:r>
      <w:r>
        <w:t xml:space="preserve">— and a precise name matters because _______________________________________________.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CO is</w:t>
      </w:r>
      <w:r>
        <w:t xml:space="preserve"> </w:t>
      </w:r>
      <w:r>
        <w:t xml:space="preserve">“carbon monoxide”</w:t>
      </w:r>
      <w:r>
        <w:t xml:space="preserve"> </w:t>
      </w:r>
      <w:r>
        <w:t xml:space="preserve">and CO₂ is</w:t>
      </w:r>
      <w:r>
        <w:t xml:space="preserve"> </w:t>
      </w:r>
      <w:r>
        <w:t xml:space="preserve">“carbon dioxide”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Quick rule recall:</w:t>
      </w:r>
    </w:p>
    <w:p>
      <w:pPr>
        <w:pStyle w:val="Compact"/>
        <w:numPr>
          <w:ilvl w:val="0"/>
          <w:numId w:val="1008"/>
        </w:numPr>
      </w:pPr>
      <w:r>
        <w:t xml:space="preserve">Ionic: never use Greek prefixes; the charges set the ratio.</w:t>
      </w:r>
    </w:p>
    <w:p>
      <w:pPr>
        <w:pStyle w:val="Compact"/>
        <w:numPr>
          <w:ilvl w:val="0"/>
          <w:numId w:val="1008"/>
        </w:numPr>
      </w:pPr>
      <w:r>
        <w:t xml:space="preserve">Polyatomic ion: look it up on</w:t>
      </w:r>
      <w:r>
        <w:t xml:space="preserve"> </w:t>
      </w:r>
      <w:r>
        <w:rPr>
          <w:b/>
          <w:bCs/>
        </w:rPr>
        <w:t xml:space="preserve">Table E</w:t>
      </w:r>
      <w:r>
        <w:t xml:space="preserve"> </w:t>
      </w:r>
      <w:r>
        <w:t xml:space="preserve">and keep its name whole.</w:t>
      </w:r>
    </w:p>
    <w:p>
      <w:pPr>
        <w:pStyle w:val="Compact"/>
        <w:numPr>
          <w:ilvl w:val="0"/>
          <w:numId w:val="1008"/>
        </w:numPr>
      </w:pPr>
      <w:r>
        <w:t xml:space="preserve">Covalent: Greek prefixes on both elements; drop</w:t>
      </w:r>
      <w:r>
        <w:t xml:space="preserve"> </w:t>
      </w:r>
      <w:r>
        <w:rPr>
          <w:i/>
          <w:iCs/>
        </w:rPr>
        <w:t xml:space="preserve">mono-</w:t>
      </w:r>
      <w:r>
        <w:t xml:space="preserve"> </w:t>
      </w:r>
      <w:r>
        <w:t xml:space="preserve">on the first.</w:t>
      </w:r>
    </w:p>
    <w:p>
      <w:pPr>
        <w:pStyle w:val="Compact"/>
        <w:numPr>
          <w:ilvl w:val="0"/>
          <w:numId w:val="1008"/>
        </w:numPr>
      </w:pPr>
      <w:r>
        <w:t xml:space="preserve">Acid: -ide →</w:t>
      </w:r>
      <w:r>
        <w:t xml:space="preserve"> </w:t>
      </w:r>
      <w:r>
        <w:rPr>
          <w:i/>
          <w:iCs/>
        </w:rPr>
        <w:t xml:space="preserve">hydro-…-ic</w:t>
      </w:r>
      <w:r>
        <w:t xml:space="preserve">; -ate →</w:t>
      </w:r>
      <w:r>
        <w:t xml:space="preserve"> </w:t>
      </w:r>
      <w:r>
        <w:rPr>
          <w:i/>
          <w:iCs/>
        </w:rPr>
        <w:t xml:space="preserve">-ic</w:t>
      </w:r>
      <w:r>
        <w:t xml:space="preserve">; -ite →</w:t>
      </w:r>
      <w:r>
        <w:t xml:space="preserve"> </w:t>
      </w:r>
      <w:r>
        <w:rPr>
          <w:i/>
          <w:iCs/>
        </w:rPr>
        <w:t xml:space="preserve">-ous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Polyatomic ions:</w:t>
      </w:r>
      <w:r>
        <w:t xml:space="preserve"> </w:t>
      </w:r>
      <w:r>
        <w:rPr>
          <w:b/>
          <w:bCs/>
        </w:rPr>
        <w:t xml:space="preserve">Table E</w:t>
      </w:r>
      <w:r>
        <w:t xml:space="preserve"> </w:t>
      </w:r>
      <w:r>
        <w:t xml:space="preserve">· Element symbols and charges:</w:t>
      </w:r>
      <w:r>
        <w:t xml:space="preserve"> </w:t>
      </w:r>
      <w:r>
        <w:rPr>
          <w:b/>
          <w:bCs/>
        </w:rPr>
        <w:t xml:space="preserve">Periodic Table / Table S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2026-06-01T19:45:31Z</dcterms:created>
  <dcterms:modified xsi:type="dcterms:W3CDTF">2026-06-01T19:45:31Z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