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eafe45c293282ee047bdbab84955b6d9fe0257"/>
    <w:p>
      <w:pPr>
        <w:pStyle w:val="Heading1"/>
      </w:pPr>
      <w:r>
        <w:t xml:space="preserve">Identifying Bond Type &amp; Number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Classify two elements as</w:t>
      </w:r>
      <w:r>
        <w:t xml:space="preserve"> </w:t>
      </w:r>
      <w:r>
        <w:rPr>
          <w:b/>
          <w:bCs/>
        </w:rPr>
        <w:t xml:space="preserve">metal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nonmetal</w:t>
      </w:r>
      <w:r>
        <w:t xml:space="preserve"> </w:t>
      </w:r>
      <w:r>
        <w:t xml:space="preserve">using the Periodic Table.</w:t>
      </w:r>
    </w:p>
    <w:p>
      <w:pPr>
        <w:pStyle w:val="Compact"/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electronegativity difference</w:t>
      </w:r>
      <w:r>
        <w:t xml:space="preserve"> </w:t>
      </w:r>
      <w:r>
        <w:t xml:space="preserve">(ΔEN) between two bonded elements from Reference Table values.</w:t>
      </w:r>
    </w:p>
    <w:p>
      <w:pPr>
        <w:pStyle w:val="Compact"/>
        <w:numPr>
          <w:ilvl w:val="0"/>
          <w:numId w:val="1001"/>
        </w:numPr>
      </w:pPr>
      <w:r>
        <w:t xml:space="preserve">Predict whether a bond is</w:t>
      </w:r>
      <w:r>
        <w:t xml:space="preserve"> </w:t>
      </w:r>
      <w:r>
        <w:rPr>
          <w:b/>
          <w:bCs/>
        </w:rPr>
        <w:t xml:space="preserve">ionic</w:t>
      </w:r>
      <w:r>
        <w:t xml:space="preserve">,</w:t>
      </w:r>
      <w:r>
        <w:t xml:space="preserve"> </w:t>
      </w:r>
      <w:r>
        <w:rPr>
          <w:b/>
          <w:bCs/>
        </w:rPr>
        <w:t xml:space="preserve">covalent</w:t>
      </w:r>
      <w:r>
        <w:t xml:space="preserve"> </w:t>
      </w:r>
      <w:r>
        <w:t xml:space="preserve">(polar or nonpolar), or</w:t>
      </w:r>
      <w:r>
        <w:t xml:space="preserve"> </w:t>
      </w:r>
      <w:r>
        <w:rPr>
          <w:b/>
          <w:bCs/>
        </w:rPr>
        <w:t xml:space="preserve">metallic</w:t>
      </w:r>
      <w:r>
        <w:t xml:space="preserve"> </w:t>
      </w:r>
      <w:r>
        <w:t xml:space="preserve">using element types and ΔEN, and state the number of bonds an atom forms from its valence electrons.</w:t>
      </w:r>
    </w:p>
    <w:p>
      <w:pPr>
        <w:pStyle w:val="Compact"/>
        <w:numPr>
          <w:ilvl w:val="0"/>
          <w:numId w:val="1001"/>
        </w:numPr>
      </w:pPr>
      <w:r>
        <w:t xml:space="preserve">Explain, using Patterns, why bond type is predictable from any element pair, and connect bond type to why salt dissolves in water but oil does not.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electronegativity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ionic bond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covalent bond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Bond type is not random. It follows a predictable pattern set by the __________ of the two elements (metal or nonmetal) and the __________ in their electronegativities. The same rule predicts the bond for any element __________ you are given.</w:t>
      </w:r>
    </w:p>
    <w:p>
      <w:pPr>
        <w:pStyle w:val="BodyText"/>
      </w:pPr>
      <w:r>
        <w:rPr>
          <w:b/>
          <w:bCs/>
        </w:rPr>
        <w:t xml:space="preserve">The three bond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 type</w:t>
            </w:r>
          </w:p>
        </w:tc>
        <w:tc>
          <w:tcPr/>
          <w:p>
            <w:pPr>
              <w:pStyle w:val="Compact"/>
            </w:pPr>
            <w:r>
              <w:t xml:space="preserve">Element types</w:t>
            </w:r>
          </w:p>
        </w:tc>
        <w:tc>
          <w:tcPr/>
          <w:p>
            <w:pPr>
              <w:pStyle w:val="Compact"/>
            </w:pPr>
            <w:r>
              <w:t xml:space="preserve">What the valence electrons do</w:t>
            </w:r>
          </w:p>
        </w:tc>
        <w:tc>
          <w:tcPr/>
          <w:p>
            <w:pPr>
              <w:pStyle w:val="Compact"/>
            </w:pPr>
            <w:r>
              <w:t xml:space="preserve">ΔEN clue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Ionic</w:t>
            </w:r>
          </w:p>
        </w:tc>
        <w:tc>
          <w:tcPr/>
          <w:p>
            <w:pPr>
              <w:pStyle w:val="Compact"/>
            </w:pPr>
            <w:r>
              <w:t xml:space="preserve">metal + nonmetal</w:t>
            </w:r>
          </w:p>
        </w:tc>
        <w:tc>
          <w:tcPr/>
          <w:p>
            <w:pPr>
              <w:pStyle w:val="Compact"/>
            </w:pPr>
            <w:r>
              <w:t xml:space="preserve">one atom __________ electrons to the other</w:t>
            </w:r>
          </w:p>
        </w:tc>
        <w:tc>
          <w:tcPr/>
          <w:p>
            <w:pPr>
              <w:pStyle w:val="Compact"/>
            </w:pPr>
            <w:r>
              <w:t xml:space="preserve">large (≥ 1.7)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Covalent</w:t>
            </w:r>
          </w:p>
        </w:tc>
        <w:tc>
          <w:tcPr/>
          <w:p>
            <w:pPr>
              <w:pStyle w:val="Compact"/>
            </w:pPr>
            <w:r>
              <w:t xml:space="preserve">nonmetal + nonmetal</w:t>
            </w:r>
          </w:p>
        </w:tc>
        <w:tc>
          <w:tcPr/>
          <w:p>
            <w:pPr>
              <w:pStyle w:val="Compact"/>
            </w:pPr>
            <w:r>
              <w:t xml:space="preserve">the atoms __________ electrons</w:t>
            </w:r>
          </w:p>
        </w:tc>
        <w:tc>
          <w:tcPr/>
          <w:p>
            <w:pPr>
              <w:pStyle w:val="Compact"/>
            </w:pPr>
            <w:r>
              <w:t xml:space="preserve">small (&lt; 1.7)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Metallic</w:t>
            </w:r>
          </w:p>
        </w:tc>
        <w:tc>
          <w:tcPr/>
          <w:p>
            <w:pPr>
              <w:pStyle w:val="Compact"/>
            </w:pPr>
            <w:r>
              <w:t xml:space="preserve">metal + metal</w:t>
            </w:r>
          </w:p>
        </w:tc>
        <w:tc>
          <w:tcPr/>
          <w:p>
            <w:pPr>
              <w:pStyle w:val="Compact"/>
            </w:pPr>
            <w:r>
              <w:t xml:space="preserve">electrons pool into a shared __________</w:t>
            </w:r>
          </w:p>
        </w:tc>
        <w:tc>
          <w:tcPr/>
          <w:p>
            <w:pPr>
              <w:pStyle w:val="Compact"/>
            </w:pPr>
            <w:r>
              <w:t xml:space="preserve">(check element type, not ΔEN)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predict a bond — the two clues:</w:t>
      </w:r>
    </w:p>
    <w:p>
      <w:pPr>
        <w:pStyle w:val="Compact"/>
        <w:numPr>
          <w:ilvl w:val="0"/>
          <w:numId w:val="1003"/>
        </w:numPr>
      </w:pPr>
      <w:r>
        <w:t xml:space="preserve">Identify each element as a __________ or a __________ on the Periodic Table.</w:t>
      </w:r>
    </w:p>
    <w:p>
      <w:pPr>
        <w:pStyle w:val="Compact"/>
        <w:numPr>
          <w:ilvl w:val="0"/>
          <w:numId w:val="1003"/>
        </w:numPr>
      </w:pPr>
      <w:r>
        <w:t xml:space="preserve">Look up the __________ of each element from the Reference Tables.</w:t>
      </w:r>
    </w:p>
    <w:p>
      <w:pPr>
        <w:pStyle w:val="Compact"/>
        <w:numPr>
          <w:ilvl w:val="0"/>
          <w:numId w:val="1003"/>
        </w:numPr>
      </w:pPr>
      <w:r>
        <w:t xml:space="preserve">Subtract the smaller from the larger to get __________ (the electronegativity difference).</w:t>
      </w:r>
    </w:p>
    <w:p>
      <w:pPr>
        <w:pStyle w:val="Compact"/>
        <w:numPr>
          <w:ilvl w:val="0"/>
          <w:numId w:val="1003"/>
        </w:numPr>
      </w:pPr>
      <w:r>
        <w:t xml:space="preserve">Place ΔEN on the number line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check the element types to choose the bond.</w:t>
      </w:r>
    </w:p>
    <w:p>
      <w:pPr>
        <w:pStyle w:val="FirstParagraph"/>
      </w:pPr>
      <w:r>
        <w:rPr>
          <w:b/>
          <w:bCs/>
        </w:rPr>
        <w:t xml:space="preserve">The number line (fill from the figure):</w:t>
      </w:r>
    </w:p>
    <w:p>
      <w:pPr>
        <w:pStyle w:val="Compact"/>
        <w:numPr>
          <w:ilvl w:val="0"/>
          <w:numId w:val="1004"/>
        </w:numPr>
      </w:pPr>
      <w:r>
        <w:t xml:space="preserve">ΔEN from 0 to 0.4 → __________ covalent (even sharing)</w:t>
      </w:r>
    </w:p>
    <w:p>
      <w:pPr>
        <w:pStyle w:val="Compact"/>
        <w:numPr>
          <w:ilvl w:val="0"/>
          <w:numId w:val="1004"/>
        </w:numPr>
      </w:pPr>
      <w:r>
        <w:t xml:space="preserve">ΔEN from 0.4 to 1.7 → __________ covalent (uneven sharing)</w:t>
      </w:r>
    </w:p>
    <w:p>
      <w:pPr>
        <w:pStyle w:val="Compact"/>
        <w:numPr>
          <w:ilvl w:val="0"/>
          <w:numId w:val="1004"/>
        </w:numPr>
      </w:pPr>
      <w:r>
        <w:t xml:space="preserve">ΔEN of 1.7 or more (metal + nonmetal) → __________</w:t>
      </w:r>
    </w:p>
    <w:p>
      <w:pPr>
        <w:pStyle w:val="Compact"/>
        <w:numPr>
          <w:ilvl w:val="0"/>
          <w:numId w:val="1004"/>
        </w:numPr>
      </w:pPr>
      <w:r>
        <w:t xml:space="preserve">Metal + metal (any ΔEN) → __________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Electronegativity — _________________________ — determines whether a bond is __________ or __________.</w:t>
      </w:r>
    </w:p>
    <w:p>
      <w:pPr>
        <w:pStyle w:val="FirstParagraph"/>
      </w:pPr>
      <w:r>
        <w:rPr>
          <w:b/>
          <w:bCs/>
        </w:rPr>
        <w:t xml:space="preserve">The figure — number line for predicting bond type:</w:t>
      </w:r>
    </w:p>
    <w:p>
      <w:pPr>
        <w:pStyle w:val="CaptionedFigure"/>
      </w:pPr>
      <w:r>
        <w:drawing>
          <wp:inline>
            <wp:extent cx="5907024" cy="2816352"/>
            <wp:effectExtent b="0" l="0" r="0" t="0"/>
            <wp:docPr descr="A horizontal number line of electronegativity difference (ΔEN) from 0 to 3.3, divided into three colored bands: 0 to 0.4 ‘Nonpolar covalent’, 0.4 to 1.7 ‘Polar covalent’, and 1.7 to 3.3 ‘Ionic’. Dashed markers below show worked examples O₂ at ΔEN = 0, the C–H bond at ΔEN = 0.4, H₂O at ΔEN = 1.4, and NaCl at ΔEN = 2.1. A note reads ‘Metal + metal → metallic bond (not on the ΔEN scale).’" title="" id="12" name="Picture"/>
            <a:graphic>
              <a:graphicData uri="http://schemas.openxmlformats.org/drawingml/2006/picture">
                <pic:pic>
                  <pic:nvPicPr>
                    <pic:cNvPr descr="figures/bond_type_number_l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24" cy="281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horizontal number line of electronegativity difference (ΔEN) from 0 to 3.3, divided into three colored bands: 0 to 0.4</w:t>
      </w:r>
      <w:r>
        <w:t xml:space="preserve"> </w:t>
      </w:r>
      <w:r>
        <w:t xml:space="preserve">‘Nonpolar covalent’</w:t>
      </w:r>
      <w:r>
        <w:t xml:space="preserve">, 0.4 to 1.7</w:t>
      </w:r>
      <w:r>
        <w:t xml:space="preserve"> </w:t>
      </w:r>
      <w:r>
        <w:t xml:space="preserve">‘Polar covalent’</w:t>
      </w:r>
      <w:r>
        <w:t xml:space="preserve">, and 1.7 to 3.3</w:t>
      </w:r>
      <w:r>
        <w:t xml:space="preserve"> </w:t>
      </w:r>
      <w:r>
        <w:t xml:space="preserve">‘Ionic’</w:t>
      </w:r>
      <w:r>
        <w:t xml:space="preserve">. Dashed markers below show worked examples O₂ at ΔEN = 0, the C–H bond at ΔEN = 0.4, H₂O at ΔEN = 1.4, and NaCl at ΔEN = 2.1. A note reads</w:t>
      </w:r>
      <w:r>
        <w:t xml:space="preserve"> </w:t>
      </w:r>
      <w:r>
        <w:t xml:space="preserve">‘Metal + metal → metallic bond (not on the ΔEN scale).’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5"/>
        </w:numPr>
      </w:pPr>
      <w:r>
        <w:t xml:space="preserve">The bond with the largest ΔEN shown is in ___________ (ΔEN = ___).</w:t>
      </w:r>
    </w:p>
    <w:p>
      <w:pPr>
        <w:pStyle w:val="Compact"/>
        <w:numPr>
          <w:ilvl w:val="0"/>
          <w:numId w:val="1005"/>
        </w:numPr>
      </w:pPr>
      <w:r>
        <w:t xml:space="preserve">The bond with ΔEN = 0 is in ___________ — it shares perfectly evenly.</w:t>
      </w:r>
    </w:p>
    <w:p>
      <w:pPr>
        <w:pStyle w:val="Compact"/>
        <w:numPr>
          <w:ilvl w:val="0"/>
          <w:numId w:val="1005"/>
        </w:numPr>
      </w:pPr>
      <w:r>
        <w:t xml:space="preserve">H₂O (ΔEN = 1.4) is __________ covalent, which is why water is slightly __________ on its ends.</w:t>
      </w:r>
    </w:p>
    <w:p>
      <w:pPr>
        <w:pStyle w:val="FirstParagraph"/>
      </w:pPr>
      <w:r>
        <w:rPr>
          <w:b/>
          <w:bCs/>
        </w:rPr>
        <w:t xml:space="preserve">The careful case — why ΔEN = 0 is not always the same bond:</w:t>
      </w:r>
    </w:p>
    <w:p>
      <w:pPr>
        <w:pStyle w:val="BodyText"/>
      </w:pPr>
      <w:r>
        <w:t xml:space="preserve">O₂ has ΔEN = 0 and Cu–Cu has ΔEN = 0. They are different bonds because __________. O₂ is two __________ (covalent); Cu–Cu is two __________ (metallic).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to predict the bond in</w:t>
      </w:r>
      <w:r>
        <w:t xml:space="preserve"> </w:t>
      </w:r>
      <w:r>
        <w:rPr>
          <w:b/>
          <w:bCs/>
        </w:rPr>
        <w:t xml:space="preserve">calcium chloride, CaCl₂.</w:t>
      </w:r>
      <w:r>
        <w:t xml:space="preserve"> </w:t>
      </w:r>
      <w:r>
        <w:t xml:space="preserve">Electronegativity values: Ca = 1.0, Cl = 3.0.</w:t>
      </w:r>
    </w:p>
    <w:p>
      <w:pPr>
        <w:pStyle w:val="BodyText"/>
      </w:pPr>
      <w:r>
        <w:rPr>
          <w:b/>
          <w:bCs/>
        </w:rPr>
        <w:t xml:space="preserve">Step 1 — Identify the element types:</w:t>
      </w:r>
    </w:p>
    <w:p>
      <w:pPr>
        <w:pStyle w:val="BodyText"/>
      </w:pPr>
      <w:r>
        <w:t xml:space="preserve">Ca is a ___________ ; Cl is a ___________ .</w:t>
      </w:r>
    </w:p>
    <w:p>
      <w:pPr>
        <w:pStyle w:val="BodyText"/>
      </w:pPr>
      <w:r>
        <w:rPr>
          <w:b/>
          <w:bCs/>
        </w:rPr>
        <w:t xml:space="preserve">Step 2 — Look up each electronegativity from the Reference Tables:</w:t>
      </w:r>
    </w:p>
    <w:p>
      <w:pPr>
        <w:pStyle w:val="BodyText"/>
      </w:pPr>
      <w:r>
        <w:t xml:space="preserve">Ca = _______ Cl = _______</w:t>
      </w:r>
    </w:p>
    <w:p>
      <w:pPr>
        <w:pStyle w:val="BodyText"/>
      </w:pPr>
      <w:r>
        <w:rPr>
          <w:b/>
          <w:bCs/>
        </w:rPr>
        <w:t xml:space="preserve">Step 3 — Calculate the electronegativity difference (larger − smaller):</w:t>
      </w:r>
    </w:p>
    <w:p>
      <w:pPr>
        <w:pStyle w:val="BodyText"/>
      </w:pPr>
      <w:r>
        <w:t xml:space="preserve">ΔEN = _______ − _______ = _______</w:t>
      </w:r>
    </w:p>
    <w:p>
      <w:pPr>
        <w:pStyle w:val="BodyText"/>
      </w:pPr>
      <w:r>
        <w:rPr>
          <w:b/>
          <w:bCs/>
        </w:rPr>
        <w:t xml:space="preserve">Step 4 — Place ΔEN on the number line and check element types:</w:t>
      </w:r>
    </w:p>
    <w:p>
      <w:pPr>
        <w:pStyle w:val="BodyText"/>
      </w:pPr>
      <w:r>
        <w:t xml:space="preserve">ΔEN = _______ falls in the __________ band. The elements are a __________ + a __________, which confirms the call.</w:t>
      </w:r>
    </w:p>
    <w:p>
      <w:pPr>
        <w:pStyle w:val="BodyText"/>
      </w:pPr>
      <w:r>
        <w:rPr>
          <w:b/>
          <w:bCs/>
        </w:rPr>
        <w:t xml:space="preserve">Step 5 — State the predicted bond type:</w:t>
      </w:r>
    </w:p>
    <w:p>
      <w:pPr>
        <w:pStyle w:val="BodyText"/>
      </w:pPr>
      <w:r>
        <w:t xml:space="preserve">The bond in CaCl₂ is __________ .</w:t>
      </w:r>
    </w:p>
    <w:p>
      <w:pPr>
        <w:pStyle w:val="BodyText"/>
      </w:pPr>
      <w:r>
        <w:rPr>
          <w:b/>
          <w:bCs/>
        </w:rPr>
        <w:t xml:space="preserve">Step 6 — Appositive sentence:</w:t>
      </w:r>
    </w:p>
    <w:p>
      <w:pPr>
        <w:pStyle w:val="BodyText"/>
      </w:pPr>
      <w:r>
        <w:t xml:space="preserve">The bond in calcium chloride — an __________ bond formed because ΔEN = ___ — holds the compound together as charged ions.</w:t>
      </w:r>
    </w:p>
    <w:p>
      <w:pPr>
        <w:pStyle w:val="BodyText"/>
      </w:pPr>
      <w:r>
        <w:rPr>
          <w:b/>
          <w:bCs/>
        </w:rPr>
        <w:t xml:space="preserve">Step 7 — Because / But / So:</w:t>
      </w:r>
    </w:p>
    <w:p>
      <w:pPr>
        <w:pStyle w:val="BodyText"/>
      </w:pPr>
      <w:r>
        <w:t xml:space="preserve">CaCl₂ is held together by ionic bonds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large ΔEN and the metal + nonmetal pair;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contrast with a covalent case;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bond type and one consequence (e.g., it dissolves in water).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Electronegativity — _________________________ — determines whether a bond is __________ or 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Salt dissolves in water but oil does not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Predicting a bond takes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clues working together — the</w:t>
      </w:r>
      <w:r>
        <w:t xml:space="preserve"> </w:t>
      </w:r>
      <w:r>
        <w:rPr>
          <w:b/>
          <w:bCs/>
        </w:rPr>
        <w:t xml:space="preserve">element types</w:t>
      </w:r>
      <w:r>
        <w:t xml:space="preserve"> </w:t>
      </w:r>
      <w:r>
        <w:t xml:space="preserve">(metal vs. nonmetal) and the</w:t>
      </w:r>
      <w:r>
        <w:t xml:space="preserve"> </w:t>
      </w:r>
      <w:r>
        <w:rPr>
          <w:b/>
          <w:bCs/>
        </w:rPr>
        <w:t xml:space="preserve">electronegativity difference (ΔEN)</w:t>
      </w:r>
      <w:r>
        <w:t xml:space="preserve">. A ΔEN of 0 is covalent between two nonmetals but metallic between two metals — always check the element type.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Electronegativity values: Periodic Table (each element’s value is listed; fluorine is highest at 4.0).</w:t>
      </w:r>
      <w:r>
        <w:t xml:space="preserve"> </w:t>
      </w:r>
      <w:r>
        <w:t xml:space="preserve">Bond-type cutoffs: ΔEN &lt; 0.4 nonpolar covalent · 0.4–1.7 polar covalent · ≥ 1.7 ionic · metal + metal → metallic.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2026-06-01T19:45:31Z</dcterms:created>
  <dcterms:modified xsi:type="dcterms:W3CDTF">2026-06-01T19:45:31Z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