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ffb4f257b642a9c3fe912a623131549f7b3639e"/>
    <w:p>
      <w:pPr>
        <w:pStyle w:val="Heading1"/>
      </w:pPr>
      <w:r>
        <w:t xml:space="preserve">Identifying Bond Type &amp; Number — Student Worksheet</w:t>
      </w:r>
    </w:p>
    <w:p>
      <w:pPr>
        <w:pStyle w:val="FirstParagraph"/>
      </w:pPr>
      <w:r>
        <w:rPr>
          <w:b/>
          <w:bCs/>
        </w:rPr>
        <w:t xml:space="preserve">Unit: Chemical Bonding — Lesson 02</w:t>
      </w:r>
      <w:r>
        <w:t xml:space="preserve"> </w:t>
      </w:r>
      <w:r>
        <w:t xml:space="preserve">Name: _______________________ Date: __________ Period: ____</w:t>
      </w:r>
    </w:p>
    <w:p>
      <w:r>
        <w:pict>
          <v:rect style="width:0;height:1.5pt" o:hralign="center" o:hrstd="t" o:hr="t"/>
        </w:pict>
      </w:r>
    </w:p>
    <w:bookmarkStart w:id="9" w:name="phenomenon"/>
    <w:p>
      <w:pPr>
        <w:pStyle w:val="Heading2"/>
      </w:pPr>
      <w:r>
        <w:t xml:space="preserve">Phenomenon</w:t>
      </w:r>
    </w:p>
    <w:p>
      <w:pPr>
        <w:pStyle w:val="FirstParagraph"/>
      </w:pPr>
      <w:r>
        <w:t xml:space="preserve">Two identical glasses of water sit on the table. Stir a spoonful of table salt into the first — it dissolves and disappears completely. Stir a spoonful of cooking oil into the second — it beads up and floats in its own layer, refusing to mix no matter how hard you stir. Same water. Same stirring. Two completely different outcomes. The difference is in the kind of</w:t>
      </w:r>
      <w:r>
        <w:t xml:space="preserve"> </w:t>
      </w:r>
      <w:r>
        <w:rPr>
          <w:b/>
          <w:bCs/>
        </w:rPr>
        <w:t xml:space="preserve">bond</w:t>
      </w:r>
      <w:r>
        <w:t xml:space="preserve"> </w:t>
      </w:r>
      <w:r>
        <w:t xml:space="preserve">that holds each substance together.</w:t>
      </w:r>
    </w:p>
    <w:p>
      <w:pPr>
        <w:pStyle w:val="BodyText"/>
      </w:pPr>
      <w:r>
        <w:rPr>
          <w:b/>
          <w:bCs/>
        </w:rPr>
        <w:t xml:space="preserve">Driving question:</w:t>
      </w:r>
      <w:r>
        <w:t xml:space="preserve"> </w:t>
      </w:r>
      <w:r>
        <w:t xml:space="preserve">Why does salt dissolve in water but oil does not?</w:t>
      </w:r>
    </w:p>
    <w:p>
      <w:r>
        <w:pict>
          <v:rect style="width:0;height:1.5pt" o:hralign="center" o:hrstd="t" o:hr="t"/>
        </w:pict>
      </w:r>
    </w:p>
    <w:bookmarkEnd w:id="9"/>
    <w:bookmarkStart w:id="10" w:name="notice-wonder"/>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Salt (NaCl) is a metal joined to a nonmetal. Oil is mostly carbon and hydrogen — two nonmetals — joined together. Using only</w:t>
      </w:r>
      <w:r>
        <w:t xml:space="preserve"> </w:t>
      </w:r>
      <w:r>
        <w:rPr>
          <w:i/>
          <w:iCs/>
        </w:rPr>
        <w:t xml:space="preserve">what kinds of elements</w:t>
      </w:r>
      <w:r>
        <w:t xml:space="preserve"> </w:t>
      </w:r>
      <w:r>
        <w:t xml:space="preserve">are involved, predict in one sentence which substance is held together by electron</w:t>
      </w:r>
      <w:r>
        <w:t xml:space="preserve"> </w:t>
      </w:r>
      <w:r>
        <w:rPr>
          <w:b/>
          <w:bCs/>
        </w:rPr>
        <w:t xml:space="preserve">transfer</w:t>
      </w:r>
      <w:r>
        <w:t xml:space="preserve"> </w:t>
      </w:r>
      <w:r>
        <w:t xml:space="preserve">and which by electron</w:t>
      </w:r>
      <w:r>
        <w:t xml:space="preserve"> </w:t>
      </w:r>
      <w:r>
        <w:rPr>
          <w:b/>
          <w:bCs/>
        </w:rPr>
        <w:t xml:space="preserve">sharing</w:t>
      </w:r>
      <w:r>
        <w:t xml:space="preserve">. What clue are you using?</w:t>
      </w:r>
    </w:p>
    <w:p>
      <w:r>
        <w:pict>
          <v:rect style="width:0;height:1.5pt" o:hralign="center" o:hrstd="t" o:hr="t"/>
        </w:pict>
      </w:r>
    </w:p>
    <w:p>
      <w:r>
        <w:pict>
          <v:rect style="width:0;height:1.5pt" o:hralign="center" o:hrstd="t" o:hr="t"/>
        </w:pict>
      </w:r>
    </w:p>
    <w:p>
      <w:r>
        <w:pict>
          <v:rect style="width:0;height:1.5pt" o:hralign="center" o:hrstd="t" o:hr="t"/>
        </w:pict>
      </w:r>
    </w:p>
    <w:bookmarkEnd w:id="10"/>
    <w:bookmarkStart w:id="11" w:name="initial-model"/>
    <w:p>
      <w:pPr>
        <w:pStyle w:val="Heading2"/>
      </w:pPr>
      <w:r>
        <w:t xml:space="preserve">Initial Model</w:t>
      </w:r>
    </w:p>
    <w:p>
      <w:pPr>
        <w:pStyle w:val="FirstParagraph"/>
      </w:pPr>
      <w:r>
        <w:t xml:space="preserve">Before your teacher names the process:</w:t>
      </w:r>
      <w:r>
        <w:t xml:space="preserve"> </w:t>
      </w:r>
      <w:r>
        <w:rPr>
          <w:b/>
          <w:bCs/>
        </w:rPr>
        <w:t xml:space="preserve">electronegativity</w:t>
      </w:r>
      <w:r>
        <w:t xml:space="preserve"> </w:t>
      </w:r>
      <w:r>
        <w:t xml:space="preserve">is how strongly an atom pulls on shared electrons. Use the Reference Tables to find each value, then subtract the smaller from the larger to get the difference (ΔEN). Which pair has the bigger difference?</w:t>
      </w:r>
    </w:p>
    <w:p>
      <w:pPr>
        <w:pStyle w:val="BodyText"/>
      </w:pPr>
      <w:r>
        <w:t xml:space="preserve">Electronegativity values: Na = 0.9, Cl = 3.0, O = 3.5</w:t>
      </w:r>
    </w:p>
    <w:p>
      <w:pPr>
        <w:pStyle w:val="BodyText"/>
      </w:pPr>
      <w:r>
        <w:rPr>
          <w:b/>
          <w:bCs/>
        </w:rPr>
        <w:t xml:space="preserve">Your work:</w:t>
      </w:r>
    </w:p>
    <w:p>
      <w:pPr>
        <w:pStyle w:val="Compact"/>
        <w:numPr>
          <w:ilvl w:val="0"/>
          <w:numId w:val="1001"/>
        </w:numPr>
      </w:pPr>
      <w:r>
        <w:t xml:space="preserve">Na and Cl: ΔEN = ______ − ______ = ____________</w:t>
      </w:r>
    </w:p>
    <w:p>
      <w:pPr>
        <w:pStyle w:val="Compact"/>
        <w:numPr>
          <w:ilvl w:val="0"/>
          <w:numId w:val="1001"/>
        </w:numPr>
      </w:pPr>
      <w:r>
        <w:t xml:space="preserve">O and O (in O₂): ΔEN = ______ − ______ = ____________</w:t>
      </w:r>
    </w:p>
    <w:p>
      <w:pPr>
        <w:numPr>
          <w:ilvl w:val="0"/>
          <w:numId w:val="1002"/>
        </w:numPr>
      </w:pPr>
      <w:r>
        <w:t xml:space="preserve">Which pair has the larger electronegativity difference? _______________</w:t>
      </w:r>
    </w:p>
    <w:p>
      <w:pPr>
        <w:numPr>
          <w:ilvl w:val="0"/>
          <w:numId w:val="1002"/>
        </w:numPr>
      </w:pPr>
      <w:r>
        <w:t xml:space="preserve">In that pair, do you think the electrons are</w:t>
      </w:r>
      <w:r>
        <w:t xml:space="preserve"> </w:t>
      </w:r>
      <w:r>
        <w:rPr>
          <w:b/>
          <w:bCs/>
        </w:rPr>
        <w:t xml:space="preserve">shared evenly</w:t>
      </w:r>
      <w:r>
        <w:t xml:space="preserve">,</w:t>
      </w:r>
      <w:r>
        <w:t xml:space="preserve"> </w:t>
      </w:r>
      <w:r>
        <w:rPr>
          <w:b/>
          <w:bCs/>
        </w:rPr>
        <w:t xml:space="preserve">shared unevenly</w:t>
      </w:r>
      <w:r>
        <w:t xml:space="preserve">, or</w:t>
      </w:r>
      <w:r>
        <w:t xml:space="preserve"> </w:t>
      </w:r>
      <w:r>
        <w:rPr>
          <w:b/>
          <w:bCs/>
        </w:rPr>
        <w:t xml:space="preserve">transferred completely</w:t>
      </w:r>
      <w:r>
        <w:t xml:space="preserve">? _______________</w:t>
      </w:r>
    </w:p>
    <w:p>
      <w:pPr>
        <w:numPr>
          <w:ilvl w:val="0"/>
          <w:numId w:val="1002"/>
        </w:numPr>
      </w:pPr>
      <w:r>
        <w:t xml:space="preserve">What two pieces of information did you need (one from the formula, one from the Reference Tables)? _______________________________________________</w:t>
      </w:r>
    </w:p>
    <w:p>
      <w:r>
        <w:pict>
          <v:rect style="width:0;height:1.5pt" o:hralign="center" o:hrstd="t" o:hr="t"/>
        </w:pict>
      </w:r>
    </w:p>
    <w:bookmarkEnd w:id="11"/>
    <w:bookmarkStart w:id="18" w:name="investigation"/>
    <w:p>
      <w:pPr>
        <w:pStyle w:val="Heading2"/>
      </w:pPr>
      <w:r>
        <w:t xml:space="preserve">Investigation</w:t>
      </w:r>
    </w:p>
    <w:bookmarkStart w:id="12" w:name="Xc410658d634de57c2a8fdd46f68bdd41356700b"/>
    <w:p>
      <w:pPr>
        <w:pStyle w:val="Heading3"/>
      </w:pPr>
      <w:r>
        <w:t xml:space="preserve">Part 1 — ABCs: Sort by element type before you calculate</w:t>
      </w:r>
    </w:p>
    <w:p>
      <w:pPr>
        <w:pStyle w:val="FirstParagraph"/>
      </w:pPr>
      <w:r>
        <w:t xml:space="preserve">Before any numbers, use only the Periodic Table. For each pair, mark whether each element is a</w:t>
      </w:r>
      <w:r>
        <w:t xml:space="preserve"> </w:t>
      </w:r>
      <w:r>
        <w:rPr>
          <w:b/>
          <w:bCs/>
        </w:rPr>
        <w:t xml:space="preserve">metal</w:t>
      </w:r>
      <w:r>
        <w:t xml:space="preserve"> </w:t>
      </w:r>
      <w:r>
        <w:t xml:space="preserve">or a</w:t>
      </w:r>
      <w:r>
        <w:t xml:space="preserve"> </w:t>
      </w:r>
      <w:r>
        <w:rPr>
          <w:b/>
          <w:bCs/>
        </w:rPr>
        <w:t xml:space="preserve">nonmetal</w:t>
      </w:r>
      <w:r>
        <w:t xml:space="preserve">, then predict whether the pair will</w:t>
      </w:r>
      <w:r>
        <w:t xml:space="preserve"> </w:t>
      </w:r>
      <w:r>
        <w:rPr>
          <w:b/>
          <w:bCs/>
        </w:rPr>
        <w:t xml:space="preserve">transfer</w:t>
      </w:r>
      <w:r>
        <w:t xml:space="preserve"> </w:t>
      </w:r>
      <w:r>
        <w:t xml:space="preserve">electrons (likely ionic),</w:t>
      </w:r>
      <w:r>
        <w:t xml:space="preserve"> </w:t>
      </w:r>
      <w:r>
        <w:rPr>
          <w:b/>
          <w:bCs/>
        </w:rPr>
        <w:t xml:space="preserve">share</w:t>
      </w:r>
      <w:r>
        <w:t xml:space="preserve"> </w:t>
      </w:r>
      <w:r>
        <w:t xml:space="preserve">electrons (likely covalent), or — if both are metals — pool electrons in a</w:t>
      </w:r>
      <w:r>
        <w:t xml:space="preserve"> </w:t>
      </w:r>
      <w:r>
        <w:rPr>
          <w:b/>
          <w:bCs/>
        </w:rPr>
        <w:t xml:space="preserve">sea</w:t>
      </w:r>
      <w:r>
        <w:t xml:space="preserve"> </w:t>
      </w:r>
      <w:r>
        <w:t xml:space="preserve">(metallic).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Pair</w:t>
            </w:r>
          </w:p>
        </w:tc>
        <w:tc>
          <w:tcPr/>
          <w:p>
            <w:pPr>
              <w:pStyle w:val="Compact"/>
            </w:pPr>
            <w:r>
              <w:t xml:space="preserve">Element types</w:t>
            </w:r>
          </w:p>
        </w:tc>
        <w:tc>
          <w:tcPr/>
          <w:p>
            <w:pPr>
              <w:pStyle w:val="Compact"/>
            </w:pPr>
            <w:r>
              <w:t xml:space="preserve">My prediction: transfer / share / sea?</w:t>
            </w:r>
          </w:p>
        </w:tc>
      </w:tr>
      <w:tr>
        <w:tc>
          <w:tcPr/>
          <w:p>
            <w:pPr>
              <w:pStyle w:val="Compact"/>
            </w:pPr>
            <w:r>
              <w:t xml:space="preserve">Na and Cl</w:t>
            </w:r>
          </w:p>
        </w:tc>
        <w:tc>
          <w:tcPr/>
          <w:p>
            <w:pPr>
              <w:pStyle w:val="Compact"/>
            </w:pPr>
            <w:r>
              <w:t xml:space="preserve">metal + nonmetal</w:t>
            </w:r>
          </w:p>
        </w:tc>
        <w:tc>
          <w:tcPr/>
          <w:p>
            <w:pPr>
              <w:pStyle w:val="Compact"/>
            </w:pPr>
          </w:p>
        </w:tc>
      </w:tr>
      <w:tr>
        <w:tc>
          <w:tcPr/>
          <w:p>
            <w:pPr>
              <w:pStyle w:val="Compact"/>
            </w:pPr>
            <w:r>
              <w:t xml:space="preserve">O and O</w:t>
            </w:r>
          </w:p>
        </w:tc>
        <w:tc>
          <w:tcPr/>
          <w:p>
            <w:pPr>
              <w:pStyle w:val="Compact"/>
            </w:pPr>
            <w:r>
              <w:t xml:space="preserve">nonmetal + nonmetal</w:t>
            </w:r>
          </w:p>
        </w:tc>
        <w:tc>
          <w:tcPr/>
          <w:p>
            <w:pPr>
              <w:pStyle w:val="Compact"/>
            </w:pPr>
          </w:p>
        </w:tc>
      </w:tr>
      <w:tr>
        <w:tc>
          <w:tcPr/>
          <w:p>
            <w:pPr>
              <w:pStyle w:val="Compact"/>
            </w:pPr>
            <w:r>
              <w:t xml:space="preserve">H and O</w:t>
            </w:r>
          </w:p>
        </w:tc>
        <w:tc>
          <w:tcPr/>
          <w:p>
            <w:pPr>
              <w:pStyle w:val="Compact"/>
            </w:pPr>
            <w:r>
              <w:t xml:space="preserve">nonmetal + nonmetal</w:t>
            </w:r>
          </w:p>
        </w:tc>
        <w:tc>
          <w:tcPr/>
          <w:p>
            <w:pPr>
              <w:pStyle w:val="Compact"/>
            </w:pPr>
          </w:p>
        </w:tc>
      </w:tr>
      <w:tr>
        <w:tc>
          <w:tcPr/>
          <w:p>
            <w:pPr>
              <w:pStyle w:val="Compact"/>
            </w:pPr>
            <w:r>
              <w:t xml:space="preserve">Cu and Cu</w:t>
            </w:r>
          </w:p>
        </w:tc>
        <w:tc>
          <w:tcPr/>
          <w:p>
            <w:pPr>
              <w:pStyle w:val="Compact"/>
            </w:pPr>
            <w:r>
              <w:t xml:space="preserve">metal + metal</w:t>
            </w:r>
          </w:p>
        </w:tc>
        <w:tc>
          <w:tcPr/>
          <w:p>
            <w:pPr>
              <w:pStyle w:val="Compact"/>
            </w:pPr>
          </w:p>
        </w:tc>
      </w:tr>
    </w:tbl>
    <w:p>
      <w:pPr>
        <w:pStyle w:val="BodyText"/>
      </w:pPr>
      <w:r>
        <w:t xml:space="preserve">After Part 2, return and check: which prediction surprised you?</w:t>
      </w:r>
    </w:p>
    <w:p>
      <w:pPr>
        <w:pStyle w:val="BodyText"/>
      </w:pPr>
      <w:r>
        <w:t xml:space="preserve">After checking: _______________________________________________</w:t>
      </w:r>
    </w:p>
    <w:bookmarkEnd w:id="12"/>
    <w:bookmarkStart w:id="13" w:name="part-2-predict-bond-type-from-δen"/>
    <w:p>
      <w:pPr>
        <w:pStyle w:val="Heading3"/>
      </w:pPr>
      <w:r>
        <w:t xml:space="preserve">Part 2 — Predict bond type from ΔEN</w:t>
      </w:r>
    </w:p>
    <w:p>
      <w:pPr>
        <w:pStyle w:val="FirstParagraph"/>
      </w:pPr>
      <w:r>
        <w:t xml:space="preserve">For each pair, fill in the metal/nonmetal label, the electronegativity (EN) values, the difference ΔEN (larger − smaller), and the predicted bond type using the number line.</w:t>
      </w:r>
    </w:p>
    <w:p>
      <w:pPr>
        <w:pStyle w:val="BodyText"/>
      </w:pPr>
      <w:r>
        <w:t xml:space="preserve">Electronegativity values: Na = 0.9, Cl = 3.0, O = 3.5, H = 2.1, Cu = 1.9</w:t>
      </w:r>
    </w:p>
    <w:p>
      <w:pPr>
        <w:pStyle w:val="BodyText"/>
      </w:pPr>
      <w:r>
        <w:rPr>
          <w:b/>
          <w:bCs/>
        </w:rPr>
        <w:t xml:space="preserve">Pair A: Na–Cl (table salt)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Metal/Nonmetal</w:t>
            </w:r>
          </w:p>
        </w:tc>
        <w:tc>
          <w:tcPr/>
          <w:p>
            <w:pPr>
              <w:pStyle w:val="Compact"/>
            </w:pPr>
            <w:r>
              <w:t xml:space="preserve">EN</w:t>
            </w:r>
          </w:p>
        </w:tc>
        <w:tc>
          <w:tcPr/>
          <w:p>
            <w:pPr>
              <w:pStyle w:val="Compact"/>
            </w:pPr>
            <w:r>
              <w:t xml:space="preserve">ΔEN</w:t>
            </w:r>
          </w:p>
        </w:tc>
        <w:tc>
          <w:tcPr/>
          <w:p>
            <w:pPr>
              <w:pStyle w:val="Compact"/>
            </w:pPr>
            <w:r>
              <w:t xml:space="preserve">Predicted bond</w:t>
            </w:r>
          </w:p>
        </w:tc>
      </w:tr>
      <w:tr>
        <w:tc>
          <w:tcPr/>
          <w:p>
            <w:pPr>
              <w:pStyle w:val="Compact"/>
            </w:pPr>
            <w:r>
              <w:t xml:space="preserve">Na</w:t>
            </w:r>
          </w:p>
        </w:tc>
        <w:tc>
          <w:tcPr/>
          <w:p>
            <w:pPr>
              <w:pStyle w:val="Compact"/>
            </w:pPr>
          </w:p>
        </w:tc>
        <w:tc>
          <w:tcPr/>
          <w:p>
            <w:pPr>
              <w:pStyle w:val="Compact"/>
            </w:pPr>
            <w:r>
              <w:t xml:space="preserve">0.9</w:t>
            </w:r>
          </w:p>
        </w:tc>
        <w:tc>
          <w:tcPr/>
          <w:p>
            <w:pPr>
              <w:pStyle w:val="Compact"/>
            </w:pPr>
          </w:p>
        </w:tc>
        <w:tc>
          <w:tcPr/>
          <w:p>
            <w:pPr>
              <w:pStyle w:val="Compact"/>
            </w:pPr>
          </w:p>
        </w:tc>
      </w:tr>
      <w:tr>
        <w:tc>
          <w:tcPr/>
          <w:p>
            <w:pPr>
              <w:pStyle w:val="Compact"/>
            </w:pPr>
            <w:r>
              <w:t xml:space="preserve">Cl</w:t>
            </w:r>
          </w:p>
        </w:tc>
        <w:tc>
          <w:tcPr/>
          <w:p>
            <w:pPr>
              <w:pStyle w:val="Compact"/>
            </w:pPr>
          </w:p>
        </w:tc>
        <w:tc>
          <w:tcPr/>
          <w:p>
            <w:pPr>
              <w:pStyle w:val="Compact"/>
            </w:pPr>
            <w:r>
              <w:t xml:space="preserve">3.0</w:t>
            </w:r>
          </w:p>
        </w:tc>
        <w:tc>
          <w:tcPr/>
          <w:p>
            <w:pPr>
              <w:pStyle w:val="Compact"/>
            </w:pPr>
            <w:r>
              <w:t xml:space="preserve">**___**</w:t>
            </w:r>
          </w:p>
        </w:tc>
        <w:tc>
          <w:tcPr/>
          <w:p>
            <w:pPr>
              <w:pStyle w:val="Compact"/>
            </w:pPr>
            <w:r>
              <w:t xml:space="preserve">**___**</w:t>
            </w:r>
          </w:p>
        </w:tc>
      </w:tr>
    </w:tbl>
    <w:p>
      <w:pPr>
        <w:pStyle w:val="BodyText"/>
      </w:pPr>
      <w:r>
        <w:rPr>
          <w:b/>
          <w:bCs/>
        </w:rPr>
        <w:t xml:space="preserve">Pair B: O–O (in O₂)</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Metal/Nonmetal</w:t>
            </w:r>
          </w:p>
        </w:tc>
        <w:tc>
          <w:tcPr/>
          <w:p>
            <w:pPr>
              <w:pStyle w:val="Compact"/>
            </w:pPr>
            <w:r>
              <w:t xml:space="preserve">EN</w:t>
            </w:r>
          </w:p>
        </w:tc>
        <w:tc>
          <w:tcPr/>
          <w:p>
            <w:pPr>
              <w:pStyle w:val="Compact"/>
            </w:pPr>
            <w:r>
              <w:t xml:space="preserve">ΔEN</w:t>
            </w:r>
          </w:p>
        </w:tc>
        <w:tc>
          <w:tcPr/>
          <w:p>
            <w:pPr>
              <w:pStyle w:val="Compact"/>
            </w:pPr>
            <w:r>
              <w:t xml:space="preserve">Predicted bond</w:t>
            </w:r>
          </w:p>
        </w:tc>
      </w:tr>
      <w:tr>
        <w:tc>
          <w:tcPr/>
          <w:p>
            <w:pPr>
              <w:pStyle w:val="Compact"/>
            </w:pPr>
            <w:r>
              <w:t xml:space="preserve">O</w:t>
            </w:r>
          </w:p>
        </w:tc>
        <w:tc>
          <w:tcPr/>
          <w:p>
            <w:pPr>
              <w:pStyle w:val="Compact"/>
            </w:pPr>
          </w:p>
        </w:tc>
        <w:tc>
          <w:tcPr/>
          <w:p>
            <w:pPr>
              <w:pStyle w:val="Compact"/>
            </w:pPr>
            <w:r>
              <w:t xml:space="preserve">3.5</w:t>
            </w:r>
          </w:p>
        </w:tc>
        <w:tc>
          <w:tcPr/>
          <w:p>
            <w:pPr>
              <w:pStyle w:val="Compact"/>
            </w:pPr>
          </w:p>
        </w:tc>
        <w:tc>
          <w:tcPr/>
          <w:p>
            <w:pPr>
              <w:pStyle w:val="Compact"/>
            </w:pPr>
          </w:p>
        </w:tc>
      </w:tr>
      <w:tr>
        <w:tc>
          <w:tcPr/>
          <w:p>
            <w:pPr>
              <w:pStyle w:val="Compact"/>
            </w:pPr>
            <w:r>
              <w:t xml:space="preserve">O</w:t>
            </w:r>
          </w:p>
        </w:tc>
        <w:tc>
          <w:tcPr/>
          <w:p>
            <w:pPr>
              <w:pStyle w:val="Compact"/>
            </w:pPr>
          </w:p>
        </w:tc>
        <w:tc>
          <w:tcPr/>
          <w:p>
            <w:pPr>
              <w:pStyle w:val="Compact"/>
            </w:pPr>
            <w:r>
              <w:t xml:space="preserve">3.5</w:t>
            </w:r>
          </w:p>
        </w:tc>
        <w:tc>
          <w:tcPr/>
          <w:p>
            <w:pPr>
              <w:pStyle w:val="Compact"/>
            </w:pPr>
            <w:r>
              <w:t xml:space="preserve">**___**</w:t>
            </w:r>
          </w:p>
        </w:tc>
        <w:tc>
          <w:tcPr/>
          <w:p>
            <w:pPr>
              <w:pStyle w:val="Compact"/>
            </w:pPr>
            <w:r>
              <w:t xml:space="preserve">**___**</w:t>
            </w:r>
          </w:p>
        </w:tc>
      </w:tr>
    </w:tbl>
    <w:p>
      <w:pPr>
        <w:pStyle w:val="BodyText"/>
      </w:pPr>
      <w:r>
        <w:rPr>
          <w:b/>
          <w:bCs/>
        </w:rPr>
        <w:t xml:space="preserve">Pair C: H–O (in H₂O)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Metal/Nonmetal</w:t>
            </w:r>
          </w:p>
        </w:tc>
        <w:tc>
          <w:tcPr/>
          <w:p>
            <w:pPr>
              <w:pStyle w:val="Compact"/>
            </w:pPr>
            <w:r>
              <w:t xml:space="preserve">EN</w:t>
            </w:r>
          </w:p>
        </w:tc>
        <w:tc>
          <w:tcPr/>
          <w:p>
            <w:pPr>
              <w:pStyle w:val="Compact"/>
            </w:pPr>
            <w:r>
              <w:t xml:space="preserve">ΔEN</w:t>
            </w:r>
          </w:p>
        </w:tc>
        <w:tc>
          <w:tcPr/>
          <w:p>
            <w:pPr>
              <w:pStyle w:val="Compact"/>
            </w:pPr>
            <w:r>
              <w:t xml:space="preserve">Predicted bond</w:t>
            </w:r>
          </w:p>
        </w:tc>
      </w:tr>
      <w:tr>
        <w:tc>
          <w:tcPr/>
          <w:p>
            <w:pPr>
              <w:pStyle w:val="Compact"/>
            </w:pPr>
            <w:r>
              <w:t xml:space="preserve">H</w:t>
            </w:r>
          </w:p>
        </w:tc>
        <w:tc>
          <w:tcPr/>
          <w:p>
            <w:pPr>
              <w:pStyle w:val="Compact"/>
            </w:pPr>
          </w:p>
        </w:tc>
        <w:tc>
          <w:tcPr/>
          <w:p>
            <w:pPr>
              <w:pStyle w:val="Compact"/>
            </w:pPr>
            <w:r>
              <w:t xml:space="preserve">2.1</w:t>
            </w:r>
          </w:p>
        </w:tc>
        <w:tc>
          <w:tcPr/>
          <w:p>
            <w:pPr>
              <w:pStyle w:val="Compact"/>
            </w:pPr>
          </w:p>
        </w:tc>
        <w:tc>
          <w:tcPr/>
          <w:p>
            <w:pPr>
              <w:pStyle w:val="Compact"/>
            </w:pPr>
          </w:p>
        </w:tc>
      </w:tr>
      <w:tr>
        <w:tc>
          <w:tcPr/>
          <w:p>
            <w:pPr>
              <w:pStyle w:val="Compact"/>
            </w:pPr>
            <w:r>
              <w:t xml:space="preserve">O</w:t>
            </w:r>
          </w:p>
        </w:tc>
        <w:tc>
          <w:tcPr/>
          <w:p>
            <w:pPr>
              <w:pStyle w:val="Compact"/>
            </w:pPr>
          </w:p>
        </w:tc>
        <w:tc>
          <w:tcPr/>
          <w:p>
            <w:pPr>
              <w:pStyle w:val="Compact"/>
            </w:pPr>
            <w:r>
              <w:t xml:space="preserve">3.5</w:t>
            </w:r>
          </w:p>
        </w:tc>
        <w:tc>
          <w:tcPr/>
          <w:p>
            <w:pPr>
              <w:pStyle w:val="Compact"/>
            </w:pPr>
            <w:r>
              <w:t xml:space="preserve">**___**</w:t>
            </w:r>
          </w:p>
        </w:tc>
        <w:tc>
          <w:tcPr/>
          <w:p>
            <w:pPr>
              <w:pStyle w:val="Compact"/>
            </w:pPr>
            <w:r>
              <w:t xml:space="preserve">**___**</w:t>
            </w:r>
          </w:p>
        </w:tc>
      </w:tr>
    </w:tbl>
    <w:p>
      <w:pPr>
        <w:pStyle w:val="BodyText"/>
      </w:pPr>
      <w:r>
        <w:rPr>
          <w:b/>
          <w:bCs/>
        </w:rPr>
        <w:t xml:space="preserve">Pair D: Cu–Cu (in copper metal)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Metal/Nonmetal</w:t>
            </w:r>
          </w:p>
        </w:tc>
        <w:tc>
          <w:tcPr/>
          <w:p>
            <w:pPr>
              <w:pStyle w:val="Compact"/>
            </w:pPr>
            <w:r>
              <w:t xml:space="preserve">EN</w:t>
            </w:r>
          </w:p>
        </w:tc>
        <w:tc>
          <w:tcPr/>
          <w:p>
            <w:pPr>
              <w:pStyle w:val="Compact"/>
            </w:pPr>
            <w:r>
              <w:t xml:space="preserve">ΔEN</w:t>
            </w:r>
          </w:p>
        </w:tc>
        <w:tc>
          <w:tcPr/>
          <w:p>
            <w:pPr>
              <w:pStyle w:val="Compact"/>
            </w:pPr>
            <w:r>
              <w:t xml:space="preserve">Predicted bond</w:t>
            </w:r>
          </w:p>
        </w:tc>
      </w:tr>
      <w:tr>
        <w:tc>
          <w:tcPr/>
          <w:p>
            <w:pPr>
              <w:pStyle w:val="Compact"/>
            </w:pPr>
            <w:r>
              <w:t xml:space="preserve">Cu</w:t>
            </w:r>
          </w:p>
        </w:tc>
        <w:tc>
          <w:tcPr/>
          <w:p>
            <w:pPr>
              <w:pStyle w:val="Compact"/>
            </w:pPr>
          </w:p>
        </w:tc>
        <w:tc>
          <w:tcPr/>
          <w:p>
            <w:pPr>
              <w:pStyle w:val="Compact"/>
            </w:pPr>
            <w:r>
              <w:t xml:space="preserve">1.9</w:t>
            </w:r>
          </w:p>
        </w:tc>
        <w:tc>
          <w:tcPr/>
          <w:p>
            <w:pPr>
              <w:pStyle w:val="Compact"/>
            </w:pPr>
          </w:p>
        </w:tc>
        <w:tc>
          <w:tcPr/>
          <w:p>
            <w:pPr>
              <w:pStyle w:val="Compact"/>
            </w:pPr>
          </w:p>
        </w:tc>
      </w:tr>
      <w:tr>
        <w:tc>
          <w:tcPr/>
          <w:p>
            <w:pPr>
              <w:pStyle w:val="Compact"/>
            </w:pPr>
            <w:r>
              <w:t xml:space="preserve">Cu</w:t>
            </w:r>
          </w:p>
        </w:tc>
        <w:tc>
          <w:tcPr/>
          <w:p>
            <w:pPr>
              <w:pStyle w:val="Compact"/>
            </w:pPr>
          </w:p>
        </w:tc>
        <w:tc>
          <w:tcPr/>
          <w:p>
            <w:pPr>
              <w:pStyle w:val="Compact"/>
            </w:pPr>
            <w:r>
              <w:t xml:space="preserve">1.9</w:t>
            </w:r>
          </w:p>
        </w:tc>
        <w:tc>
          <w:tcPr/>
          <w:p>
            <w:pPr>
              <w:pStyle w:val="Compact"/>
            </w:pPr>
            <w:r>
              <w:t xml:space="preserve">**___**</w:t>
            </w:r>
          </w:p>
        </w:tc>
        <w:tc>
          <w:tcPr/>
          <w:p>
            <w:pPr>
              <w:pStyle w:val="Compact"/>
            </w:pPr>
            <w:r>
              <w:t xml:space="preserve">**___**</w:t>
            </w:r>
          </w:p>
        </w:tc>
      </w:tr>
    </w:tbl>
    <w:bookmarkEnd w:id="13"/>
    <w:bookmarkStart w:id="17" w:name="part-3-reading-the-number-line"/>
    <w:p>
      <w:pPr>
        <w:pStyle w:val="Heading3"/>
      </w:pPr>
      <w:r>
        <w:t xml:space="preserve">Part 3 — Reading the number line</w:t>
      </w:r>
    </w:p>
    <w:p>
      <w:pPr>
        <w:pStyle w:val="FirstParagraph"/>
      </w:pPr>
      <w:r>
        <w:t xml:space="preserve">Look at</w:t>
      </w:r>
      <w:r>
        <w:t xml:space="preserve"> </w:t>
      </w:r>
      <w:r>
        <w:rPr>
          <w:rStyle w:val="VerbatimChar"/>
        </w:rPr>
        <w:t xml:space="preserve">figures/bond_type_number_line.png</w:t>
      </w:r>
      <w:r>
        <w:t xml:space="preserve">:</w:t>
      </w:r>
    </w:p>
    <w:p>
      <w:pPr>
        <w:pStyle w:val="CaptionedFigure"/>
      </w:pPr>
      <w:r>
        <w:drawing>
          <wp:inline>
            <wp:extent cx="5907024" cy="2816352"/>
            <wp:effectExtent b="0" l="0" r="0" t="0"/>
            <wp:docPr descr="A horizontal number line of electronegativity difference (ΔEN) from 0 to 3.3, divided into three colored bands: 0 to 0.4 ‘Nonpolar covalent’, 0.4 to 1.7 ‘Polar covalent’, and 1.7 to 3.3 ‘Ionic’. Dashed markers below show worked examples O₂ at ΔEN = 0, the C–H bond at ΔEN = 0.4, H₂O at ΔEN = 1.4, and NaCl at ΔEN = 2.1. A note reads ‘Metal + metal → metallic bond (not on the ΔEN scale).’" title="" id="15" name="Picture"/>
            <a:graphic>
              <a:graphicData uri="http://schemas.openxmlformats.org/drawingml/2006/picture">
                <pic:pic>
                  <pic:nvPicPr>
                    <pic:cNvPr descr="figures/bond_type_number_line.png" id="16" name="Picture"/>
                    <pic:cNvPicPr>
                      <a:picLocks noChangeArrowheads="1" noChangeAspect="1"/>
                    </pic:cNvPicPr>
                  </pic:nvPicPr>
                  <pic:blipFill>
                    <a:blip r:embed="rId14"/>
                    <a:stretch>
                      <a:fillRect/>
                    </a:stretch>
                  </pic:blipFill>
                  <pic:spPr bwMode="auto">
                    <a:xfrm>
                      <a:off x="0" y="0"/>
                      <a:ext cx="5907024" cy="2816352"/>
                    </a:xfrm>
                    <a:prstGeom prst="rect">
                      <a:avLst/>
                    </a:prstGeom>
                    <a:noFill/>
                    <a:ln w="9525">
                      <a:noFill/>
                      <a:headEnd/>
                      <a:tailEnd/>
                    </a:ln>
                  </pic:spPr>
                </pic:pic>
              </a:graphicData>
            </a:graphic>
          </wp:inline>
        </w:drawing>
      </w:r>
    </w:p>
    <w:p>
      <w:pPr>
        <w:pStyle w:val="ImageCaption"/>
      </w:pPr>
      <w:r>
        <w:t xml:space="preserve">A horizontal number line of electronegativity difference (ΔEN) from 0 to 3.3, divided into three colored bands: 0 to 0.4</w:t>
      </w:r>
      <w:r>
        <w:t xml:space="preserve"> </w:t>
      </w:r>
      <w:r>
        <w:t xml:space="preserve">‘Nonpolar covalent’</w:t>
      </w:r>
      <w:r>
        <w:t xml:space="preserve">, 0.4 to 1.7</w:t>
      </w:r>
      <w:r>
        <w:t xml:space="preserve"> </w:t>
      </w:r>
      <w:r>
        <w:t xml:space="preserve">‘Polar covalent’</w:t>
      </w:r>
      <w:r>
        <w:t xml:space="preserve">, and 1.7 to 3.3</w:t>
      </w:r>
      <w:r>
        <w:t xml:space="preserve"> </w:t>
      </w:r>
      <w:r>
        <w:t xml:space="preserve">‘Ionic’</w:t>
      </w:r>
      <w:r>
        <w:t xml:space="preserve">. Dashed markers below show worked examples O₂ at ΔEN = 0, the C–H bond at ΔEN = 0.4, H₂O at ΔEN = 1.4, and NaCl at ΔEN = 2.1. A note reads</w:t>
      </w:r>
      <w:r>
        <w:t xml:space="preserve"> </w:t>
      </w:r>
      <w:r>
        <w:t xml:space="preserve">‘Metal + metal → metallic bond (not on the ΔEN scale).’</w:t>
      </w:r>
    </w:p>
    <w:p>
      <w:pPr>
        <w:numPr>
          <w:ilvl w:val="0"/>
          <w:numId w:val="1003"/>
        </w:numPr>
      </w:pPr>
      <w:r>
        <w:t xml:space="preserve">Which band does NaCl (ΔEN = 2.1) fall in? _______________</w:t>
      </w:r>
    </w:p>
    <w:p>
      <w:pPr>
        <w:numPr>
          <w:ilvl w:val="0"/>
          <w:numId w:val="1003"/>
        </w:numPr>
      </w:pPr>
      <w:r>
        <w:t xml:space="preserve">O₂ (ΔEN = 0) and Cu–Cu (ΔEN = 0) both have the same difference. Why is one</w:t>
      </w:r>
      <w:r>
        <w:t xml:space="preserve"> </w:t>
      </w:r>
      <w:r>
        <w:rPr>
          <w:b/>
          <w:bCs/>
        </w:rPr>
        <w:t xml:space="preserve">covalent</w:t>
      </w:r>
      <w:r>
        <w:t xml:space="preserve"> </w:t>
      </w:r>
      <w:r>
        <w:t xml:space="preserve">and the other</w:t>
      </w:r>
      <w:r>
        <w:t xml:space="preserve"> </w:t>
      </w:r>
      <w:r>
        <w:rPr>
          <w:b/>
          <w:bCs/>
        </w:rPr>
        <w:t xml:space="preserve">metallic</w:t>
      </w:r>
      <w:r>
        <w:t xml:space="preserve">? Use element types in your answer.</w:t>
      </w:r>
    </w:p>
    <w:p>
      <w:r>
        <w:pict>
          <v:rect style="width:0;height:1.5pt" o:hralign="center" o:hrstd="t" o:hr="t"/>
        </w:pict>
      </w:r>
    </w:p>
    <w:p>
      <w:r>
        <w:pict>
          <v:rect style="width:0;height:1.5pt" o:hralign="center" o:hrstd="t" o:hr="t"/>
        </w:pict>
      </w:r>
    </w:p>
    <w:p>
      <w:pPr>
        <w:pStyle w:val="Compact"/>
        <w:numPr>
          <w:ilvl w:val="0"/>
          <w:numId w:val="1004"/>
        </w:numPr>
      </w:pPr>
      <w:r>
        <w:t xml:space="preserve">Where is the metallic bond on the number line — and why is it placed there?</w:t>
      </w:r>
    </w:p>
    <w:p>
      <w:r>
        <w:pict>
          <v:rect style="width:0;height:1.5pt" o:hralign="center" o:hrstd="t" o:hr="t"/>
        </w:pict>
      </w:r>
    </w:p>
    <w:p>
      <w:r>
        <w:pict>
          <v:rect style="width:0;height:1.5pt" o:hralign="center" o:hrstd="t" o:hr="t"/>
        </w:pict>
      </w:r>
    </w:p>
    <w:bookmarkEnd w:id="17"/>
    <w:bookmarkEnd w:id="18"/>
    <w:bookmarkStart w:id="19" w:name="make-it-make-sense"/>
    <w:p>
      <w:pPr>
        <w:pStyle w:val="Heading2"/>
      </w:pPr>
      <w:r>
        <w:t xml:space="preserve">Make It Make Sense</w:t>
      </w:r>
    </w:p>
    <w:p>
      <w:pPr>
        <w:pStyle w:val="FirstParagraph"/>
      </w:pPr>
      <w:r>
        <w:t xml:space="preserve">For each pair below, predict the bond type. Show element types, the ΔEN calculation, and the band it lands in.</w:t>
      </w:r>
      <w:r>
        <w:t xml:space="preserve"> </w:t>
      </w:r>
      <w:r>
        <w:rPr>
          <w:b/>
          <w:bCs/>
        </w:rPr>
        <w:t xml:space="preserve">These are the same pairs you practiced in the Investigation — confirm your work here.</w:t>
      </w:r>
      <w:r>
        <w:t xml:space="preserve"> </w:t>
      </w:r>
      <w:r>
        <w:t xml:space="preserve">Electronegativity values: Na = 0.9, Cl = 3.0, O = 3.5, H = 2.1, Cu = 1.9.</w:t>
      </w:r>
    </w:p>
    <w:p>
      <w:pPr>
        <w:pStyle w:val="BodyText"/>
      </w:pPr>
      <w:r>
        <w:rPr>
          <w:b/>
          <w:bCs/>
        </w:rPr>
        <w:t xml:space="preserve">1. Na–Cl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Metal/Nonmetal</w:t>
            </w:r>
          </w:p>
        </w:tc>
        <w:tc>
          <w:tcPr/>
          <w:p>
            <w:pPr>
              <w:pStyle w:val="Compact"/>
            </w:pPr>
            <w:r>
              <w:t xml:space="preserve">EN</w:t>
            </w:r>
          </w:p>
        </w:tc>
        <w:tc>
          <w:tcPr/>
          <w:p>
            <w:pPr>
              <w:pStyle w:val="Compact"/>
            </w:pPr>
            <w:r>
              <w:t xml:space="preserve">ΔEN</w:t>
            </w:r>
          </w:p>
        </w:tc>
        <w:tc>
          <w:tcPr/>
          <w:p>
            <w:pPr>
              <w:pStyle w:val="Compact"/>
            </w:pPr>
            <w:r>
              <w:t xml:space="preserve">Predicted bond</w:t>
            </w:r>
          </w:p>
        </w:tc>
      </w:tr>
      <w:tr>
        <w:tc>
          <w:tcPr/>
          <w:p>
            <w:pPr>
              <w:pStyle w:val="Compact"/>
            </w:pPr>
            <w:r>
              <w:t xml:space="preserve">Na</w:t>
            </w:r>
          </w:p>
        </w:tc>
        <w:tc>
          <w:tcPr/>
          <w:p>
            <w:pPr>
              <w:pStyle w:val="Compact"/>
            </w:pPr>
          </w:p>
        </w:tc>
        <w:tc>
          <w:tcPr/>
          <w:p>
            <w:pPr>
              <w:pStyle w:val="Compact"/>
            </w:pPr>
            <w:r>
              <w:t xml:space="preserve">0.9</w:t>
            </w:r>
          </w:p>
        </w:tc>
        <w:tc>
          <w:tcPr/>
          <w:p>
            <w:pPr>
              <w:pStyle w:val="Compact"/>
            </w:pPr>
          </w:p>
        </w:tc>
        <w:tc>
          <w:tcPr/>
          <w:p>
            <w:pPr>
              <w:pStyle w:val="Compact"/>
            </w:pPr>
          </w:p>
        </w:tc>
      </w:tr>
      <w:tr>
        <w:tc>
          <w:tcPr/>
          <w:p>
            <w:pPr>
              <w:pStyle w:val="Compact"/>
            </w:pPr>
            <w:r>
              <w:t xml:space="preserve">Cl</w:t>
            </w:r>
          </w:p>
        </w:tc>
        <w:tc>
          <w:tcPr/>
          <w:p>
            <w:pPr>
              <w:pStyle w:val="Compact"/>
            </w:pPr>
          </w:p>
        </w:tc>
        <w:tc>
          <w:tcPr/>
          <w:p>
            <w:pPr>
              <w:pStyle w:val="Compact"/>
            </w:pPr>
            <w:r>
              <w:t xml:space="preserve">3.0</w:t>
            </w:r>
          </w:p>
        </w:tc>
        <w:tc>
          <w:tcPr/>
          <w:p>
            <w:pPr>
              <w:pStyle w:val="Compact"/>
            </w:pPr>
            <w:r>
              <w:t xml:space="preserve">**___**</w:t>
            </w:r>
          </w:p>
        </w:tc>
        <w:tc>
          <w:tcPr/>
          <w:p>
            <w:pPr>
              <w:pStyle w:val="Compact"/>
            </w:pPr>
            <w:r>
              <w:t xml:space="preserve">**___**</w:t>
            </w:r>
          </w:p>
        </w:tc>
      </w:tr>
    </w:tbl>
    <w:p>
      <w:pPr>
        <w:pStyle w:val="BodyText"/>
      </w:pPr>
      <w:r>
        <w:rPr>
          <w:b/>
          <w:bCs/>
        </w:rPr>
        <w:t xml:space="preserve">2. H–O (in H₂O)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Metal/Nonmetal</w:t>
            </w:r>
          </w:p>
        </w:tc>
        <w:tc>
          <w:tcPr/>
          <w:p>
            <w:pPr>
              <w:pStyle w:val="Compact"/>
            </w:pPr>
            <w:r>
              <w:t xml:space="preserve">EN</w:t>
            </w:r>
          </w:p>
        </w:tc>
        <w:tc>
          <w:tcPr/>
          <w:p>
            <w:pPr>
              <w:pStyle w:val="Compact"/>
            </w:pPr>
            <w:r>
              <w:t xml:space="preserve">ΔEN</w:t>
            </w:r>
          </w:p>
        </w:tc>
        <w:tc>
          <w:tcPr/>
          <w:p>
            <w:pPr>
              <w:pStyle w:val="Compact"/>
            </w:pPr>
            <w:r>
              <w:t xml:space="preserve">Predicted bond</w:t>
            </w:r>
          </w:p>
        </w:tc>
      </w:tr>
      <w:tr>
        <w:tc>
          <w:tcPr/>
          <w:p>
            <w:pPr>
              <w:pStyle w:val="Compact"/>
            </w:pPr>
            <w:r>
              <w:t xml:space="preserve">H</w:t>
            </w:r>
          </w:p>
        </w:tc>
        <w:tc>
          <w:tcPr/>
          <w:p>
            <w:pPr>
              <w:pStyle w:val="Compact"/>
            </w:pPr>
          </w:p>
        </w:tc>
        <w:tc>
          <w:tcPr/>
          <w:p>
            <w:pPr>
              <w:pStyle w:val="Compact"/>
            </w:pPr>
            <w:r>
              <w:t xml:space="preserve">2.1</w:t>
            </w:r>
          </w:p>
        </w:tc>
        <w:tc>
          <w:tcPr/>
          <w:p>
            <w:pPr>
              <w:pStyle w:val="Compact"/>
            </w:pPr>
          </w:p>
        </w:tc>
        <w:tc>
          <w:tcPr/>
          <w:p>
            <w:pPr>
              <w:pStyle w:val="Compact"/>
            </w:pPr>
          </w:p>
        </w:tc>
      </w:tr>
      <w:tr>
        <w:tc>
          <w:tcPr/>
          <w:p>
            <w:pPr>
              <w:pStyle w:val="Compact"/>
            </w:pPr>
            <w:r>
              <w:t xml:space="preserve">O</w:t>
            </w:r>
          </w:p>
        </w:tc>
        <w:tc>
          <w:tcPr/>
          <w:p>
            <w:pPr>
              <w:pStyle w:val="Compact"/>
            </w:pPr>
          </w:p>
        </w:tc>
        <w:tc>
          <w:tcPr/>
          <w:p>
            <w:pPr>
              <w:pStyle w:val="Compact"/>
            </w:pPr>
            <w:r>
              <w:t xml:space="preserve">3.5</w:t>
            </w:r>
          </w:p>
        </w:tc>
        <w:tc>
          <w:tcPr/>
          <w:p>
            <w:pPr>
              <w:pStyle w:val="Compact"/>
            </w:pPr>
            <w:r>
              <w:t xml:space="preserve">**___**</w:t>
            </w:r>
          </w:p>
        </w:tc>
        <w:tc>
          <w:tcPr/>
          <w:p>
            <w:pPr>
              <w:pStyle w:val="Compact"/>
            </w:pPr>
            <w:r>
              <w:t xml:space="preserve">**___**</w:t>
            </w:r>
          </w:p>
        </w:tc>
      </w:tr>
    </w:tbl>
    <w:p>
      <w:pPr>
        <w:pStyle w:val="BodyText"/>
      </w:pPr>
      <w:r>
        <w:rPr>
          <w:b/>
          <w:bCs/>
        </w:rPr>
        <w:t xml:space="preserve">3. Cu–Cu (in copper metal)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Metal/Nonmetal</w:t>
            </w:r>
          </w:p>
        </w:tc>
        <w:tc>
          <w:tcPr/>
          <w:p>
            <w:pPr>
              <w:pStyle w:val="Compact"/>
            </w:pPr>
            <w:r>
              <w:t xml:space="preserve">EN</w:t>
            </w:r>
          </w:p>
        </w:tc>
        <w:tc>
          <w:tcPr/>
          <w:p>
            <w:pPr>
              <w:pStyle w:val="Compact"/>
            </w:pPr>
            <w:r>
              <w:t xml:space="preserve">ΔEN</w:t>
            </w:r>
          </w:p>
        </w:tc>
        <w:tc>
          <w:tcPr/>
          <w:p>
            <w:pPr>
              <w:pStyle w:val="Compact"/>
            </w:pPr>
            <w:r>
              <w:t xml:space="preserve">Predicted bond</w:t>
            </w:r>
          </w:p>
        </w:tc>
      </w:tr>
      <w:tr>
        <w:tc>
          <w:tcPr/>
          <w:p>
            <w:pPr>
              <w:pStyle w:val="Compact"/>
            </w:pPr>
            <w:r>
              <w:t xml:space="preserve">Cu</w:t>
            </w:r>
          </w:p>
        </w:tc>
        <w:tc>
          <w:tcPr/>
          <w:p>
            <w:pPr>
              <w:pStyle w:val="Compact"/>
            </w:pPr>
          </w:p>
        </w:tc>
        <w:tc>
          <w:tcPr/>
          <w:p>
            <w:pPr>
              <w:pStyle w:val="Compact"/>
            </w:pPr>
            <w:r>
              <w:t xml:space="preserve">1.9</w:t>
            </w:r>
          </w:p>
        </w:tc>
        <w:tc>
          <w:tcPr/>
          <w:p>
            <w:pPr>
              <w:pStyle w:val="Compact"/>
            </w:pPr>
          </w:p>
        </w:tc>
        <w:tc>
          <w:tcPr/>
          <w:p>
            <w:pPr>
              <w:pStyle w:val="Compact"/>
            </w:pPr>
          </w:p>
        </w:tc>
      </w:tr>
      <w:tr>
        <w:tc>
          <w:tcPr/>
          <w:p>
            <w:pPr>
              <w:pStyle w:val="Compact"/>
            </w:pPr>
            <w:r>
              <w:t xml:space="preserve">Cu</w:t>
            </w:r>
          </w:p>
        </w:tc>
        <w:tc>
          <w:tcPr/>
          <w:p>
            <w:pPr>
              <w:pStyle w:val="Compact"/>
            </w:pPr>
          </w:p>
        </w:tc>
        <w:tc>
          <w:tcPr/>
          <w:p>
            <w:pPr>
              <w:pStyle w:val="Compact"/>
            </w:pPr>
            <w:r>
              <w:t xml:space="preserve">1.9</w:t>
            </w:r>
          </w:p>
        </w:tc>
        <w:tc>
          <w:tcPr/>
          <w:p>
            <w:pPr>
              <w:pStyle w:val="Compact"/>
            </w:pPr>
            <w:r>
              <w:t xml:space="preserve">**___**</w:t>
            </w:r>
          </w:p>
        </w:tc>
        <w:tc>
          <w:tcPr/>
          <w:p>
            <w:pPr>
              <w:pStyle w:val="Compact"/>
            </w:pPr>
            <w:r>
              <w:t xml:space="preserve">**___**</w:t>
            </w:r>
          </w:p>
        </w:tc>
      </w:tr>
    </w:tbl>
    <w:p>
      <w:pPr>
        <w:pStyle w:val="BodyText"/>
      </w:pPr>
      <w:r>
        <w:rPr>
          <w:b/>
          <w:bCs/>
        </w:rPr>
        <w:t xml:space="preserve">4. Multiple choice — which statement is correct?</w:t>
      </w:r>
      <w:r>
        <w:t xml:space="preserve"> </w:t>
      </w:r>
      <w:r>
        <w:t xml:space="preserve">Circle one.</w:t>
      </w:r>
    </w:p>
    <w:p>
      <w:pPr>
        <w:pStyle w:val="Compact"/>
        <w:numPr>
          <w:ilvl w:val="0"/>
          <w:numId w:val="1005"/>
        </w:numPr>
      </w:pPr>
      <w:r>
        <w:t xml:space="preserve">A. Two metals always form a covalent bond by sharing one pair of electrons.</w:t>
      </w:r>
    </w:p>
    <w:p>
      <w:pPr>
        <w:pStyle w:val="Compact"/>
        <w:numPr>
          <w:ilvl w:val="0"/>
          <w:numId w:val="1005"/>
        </w:numPr>
      </w:pPr>
      <w:r>
        <w:t xml:space="preserve">B. A large electronegativity difference between a metal and a nonmetal produces an ionic bond.</w:t>
      </w:r>
    </w:p>
    <w:p>
      <w:pPr>
        <w:pStyle w:val="Compact"/>
        <w:numPr>
          <w:ilvl w:val="0"/>
          <w:numId w:val="1005"/>
        </w:numPr>
      </w:pPr>
      <w:r>
        <w:t xml:space="preserve">C. Electronegativity measures how heavy an atom is.</w:t>
      </w:r>
    </w:p>
    <w:p>
      <w:pPr>
        <w:pStyle w:val="Compact"/>
        <w:numPr>
          <w:ilvl w:val="0"/>
          <w:numId w:val="1005"/>
        </w:numPr>
      </w:pPr>
      <w:r>
        <w:t xml:space="preserve">D. A ΔEN of 0 always means the bond is metallic.</w:t>
      </w:r>
    </w:p>
    <w:p>
      <w:r>
        <w:pict>
          <v:rect style="width:0;height:1.5pt" o:hralign="center" o:hrstd="t" o:hr="t"/>
        </w:pict>
      </w:r>
    </w:p>
    <w:bookmarkEnd w:id="19"/>
    <w:bookmarkStart w:id="20" w:name="vocabulary-in-action"/>
    <w:p>
      <w:pPr>
        <w:pStyle w:val="Heading2"/>
      </w:pPr>
      <w:r>
        <w:t xml:space="preserve">Vocabulary in Action</w:t>
      </w:r>
    </w:p>
    <w:p>
      <w:pPr>
        <w:pStyle w:val="FirstParagraph"/>
      </w:pPr>
      <w:r>
        <w:t xml:space="preserve">Use each term in a sentence about today’s investigation. Do not copy the definition — describe something you actually did or observed.</w:t>
      </w:r>
    </w:p>
    <w:p>
      <w:pPr>
        <w:numPr>
          <w:ilvl w:val="0"/>
          <w:numId w:val="1006"/>
        </w:numPr>
      </w:pPr>
      <w:r>
        <w:rPr>
          <w:b/>
          <w:bCs/>
        </w:rPr>
        <w:t xml:space="preserve">electronegativity:</w:t>
      </w:r>
      <w:r>
        <w:t xml:space="preserve"> </w:t>
      </w:r>
      <w:r>
        <w:t xml:space="preserve">_______________________________________________</w:t>
      </w:r>
      <w:r>
        <w:t xml:space="preserve"> </w:t>
      </w:r>
      <w:r>
        <w:t xml:space="preserve">_______________________________________________</w:t>
      </w:r>
    </w:p>
    <w:p>
      <w:pPr>
        <w:numPr>
          <w:ilvl w:val="0"/>
          <w:numId w:val="1006"/>
        </w:numPr>
      </w:pPr>
      <w:r>
        <w:rPr>
          <w:b/>
          <w:bCs/>
        </w:rPr>
        <w:t xml:space="preserve">ionic bond:</w:t>
      </w:r>
      <w:r>
        <w:t xml:space="preserve"> </w:t>
      </w:r>
      <w:r>
        <w:t xml:space="preserve">_______________________________________________</w:t>
      </w:r>
      <w:r>
        <w:t xml:space="preserve"> </w:t>
      </w:r>
      <w:r>
        <w:t xml:space="preserve">_______________________________________________</w:t>
      </w:r>
    </w:p>
    <w:p>
      <w:pPr>
        <w:numPr>
          <w:ilvl w:val="0"/>
          <w:numId w:val="1006"/>
        </w:numPr>
      </w:pPr>
      <w:r>
        <w:rPr>
          <w:b/>
          <w:bCs/>
        </w:rPr>
        <w:t xml:space="preserve">covalent bond:</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20"/>
    <w:bookmarkStart w:id="21" w:name="revise-your-model"/>
    <w:p>
      <w:pPr>
        <w:pStyle w:val="Heading2"/>
      </w:pPr>
      <w:r>
        <w:t xml:space="preserve">Revise Your Model</w:t>
      </w:r>
    </w:p>
    <w:p>
      <w:pPr>
        <w:pStyle w:val="FirstParagraph"/>
      </w:pPr>
      <w:r>
        <w:t xml:space="preserve">Return to your Initial Model (the Na–Cl and O–O calculations). Add vocabulary labels:</w:t>
      </w:r>
    </w:p>
    <w:p>
      <w:pPr>
        <w:numPr>
          <w:ilvl w:val="0"/>
          <w:numId w:val="1007"/>
        </w:numPr>
      </w:pPr>
      <w:r>
        <w:t xml:space="preserve">Next to each ΔEN, write the band it falls in on the number line: _______________</w:t>
      </w:r>
    </w:p>
    <w:p>
      <w:pPr>
        <w:numPr>
          <w:ilvl w:val="0"/>
          <w:numId w:val="1007"/>
        </w:numPr>
      </w:pPr>
      <w:r>
        <w:t xml:space="preserve">Label each bond type (ionic / nonpolar covalent / polar covalent / metallic).</w:t>
      </w:r>
    </w:p>
    <w:p>
      <w:pPr>
        <w:numPr>
          <w:ilvl w:val="0"/>
          <w:numId w:val="1007"/>
        </w:numPr>
      </w:pPr>
      <w:r>
        <w:t xml:space="preserve">Write a revised appositive sentence for the salt bond:</w:t>
      </w:r>
    </w:p>
    <w:p>
      <w:pPr>
        <w:pStyle w:val="BlockText"/>
      </w:pPr>
      <w:r>
        <w:t xml:space="preserve">The bond in sodium chloride — an ionic bond formed because ΔEN = ___ — _______________________________________________</w:t>
      </w:r>
    </w:p>
    <w:p>
      <w:pPr>
        <w:pStyle w:val="FirstParagraph"/>
      </w:pPr>
      <w:r>
        <w:t xml:space="preserve">Then finish this Because / But / So sentence:</w:t>
      </w:r>
    </w:p>
    <w:p>
      <w:pPr>
        <w:pStyle w:val="BlockText"/>
      </w:pPr>
      <w:r>
        <w:t xml:space="preserve">Salt dissolves in water but oil does not</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21"/>
    <w:bookmarkStart w:id="22" w:name="exit-ticket"/>
    <w:p>
      <w:pPr>
        <w:pStyle w:val="Heading2"/>
      </w:pPr>
      <w:r>
        <w:t xml:space="preserve">Exit Ticket</w:t>
      </w:r>
    </w:p>
    <w:p>
      <w:pPr>
        <w:pStyle w:val="FirstParagraph"/>
      </w:pPr>
      <w:r>
        <w:t xml:space="preserve">Electronegativity values: Mg = 1.2, F = 4.0, H = 2.1, Cl = 3.0. Iron (Fe) is a metal.</w:t>
      </w:r>
    </w:p>
    <w:p>
      <w:pPr>
        <w:pStyle w:val="BodyText"/>
      </w:pPr>
      <w:r>
        <w:rPr>
          <w:i/>
          <w:iCs/>
        </w:rPr>
        <w:t xml:space="preserve">(a) Predict the bond type in MgF₂. Show element types and the ΔEN calculation, and name the band it falls in.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Metal/Nonmetal</w:t>
            </w:r>
          </w:p>
        </w:tc>
        <w:tc>
          <w:tcPr/>
          <w:p>
            <w:pPr>
              <w:pStyle w:val="Compact"/>
            </w:pPr>
            <w:r>
              <w:t xml:space="preserve">EN</w:t>
            </w:r>
          </w:p>
        </w:tc>
        <w:tc>
          <w:tcPr/>
          <w:p>
            <w:pPr>
              <w:pStyle w:val="Compact"/>
            </w:pPr>
            <w:r>
              <w:t xml:space="preserve">ΔEN</w:t>
            </w:r>
          </w:p>
        </w:tc>
        <w:tc>
          <w:tcPr/>
          <w:p>
            <w:pPr>
              <w:pStyle w:val="Compact"/>
            </w:pPr>
            <w:r>
              <w:t xml:space="preserve">Predicted bond</w:t>
            </w:r>
          </w:p>
        </w:tc>
      </w:tr>
      <w:tr>
        <w:tc>
          <w:tcPr/>
          <w:p>
            <w:pPr>
              <w:pStyle w:val="Compact"/>
            </w:pPr>
            <w:r>
              <w:t xml:space="preserve">Mg</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w:t>
            </w:r>
          </w:p>
        </w:tc>
        <w:tc>
          <w:tcPr/>
          <w:p>
            <w:pPr>
              <w:pStyle w:val="Compact"/>
            </w:pPr>
          </w:p>
        </w:tc>
        <w:tc>
          <w:tcPr/>
          <w:p>
            <w:pPr>
              <w:pStyle w:val="Compact"/>
            </w:pPr>
          </w:p>
        </w:tc>
        <w:tc>
          <w:tcPr/>
          <w:p>
            <w:pPr>
              <w:pStyle w:val="Compact"/>
            </w:pPr>
            <w:r>
              <w:t xml:space="preserve">**___**</w:t>
            </w:r>
          </w:p>
        </w:tc>
        <w:tc>
          <w:tcPr/>
          <w:p>
            <w:pPr>
              <w:pStyle w:val="Compact"/>
            </w:pPr>
            <w:r>
              <w:t xml:space="preserve">**___**</w:t>
            </w:r>
          </w:p>
        </w:tc>
      </w:tr>
    </w:tbl>
    <w:p>
      <w:pPr>
        <w:pStyle w:val="BodyText"/>
      </w:pPr>
      <w:r>
        <w:rPr>
          <w:i/>
          <w:iCs/>
        </w:rPr>
        <w:t xml:space="preserve">(b) Predict the bond type in HCl. Show element types and the ΔEN calculation, and name the band it falls in.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Metal/Nonmetal</w:t>
            </w:r>
          </w:p>
        </w:tc>
        <w:tc>
          <w:tcPr/>
          <w:p>
            <w:pPr>
              <w:pStyle w:val="Compact"/>
            </w:pPr>
            <w:r>
              <w:t xml:space="preserve">EN</w:t>
            </w:r>
          </w:p>
        </w:tc>
        <w:tc>
          <w:tcPr/>
          <w:p>
            <w:pPr>
              <w:pStyle w:val="Compact"/>
            </w:pPr>
            <w:r>
              <w:t xml:space="preserve">ΔEN</w:t>
            </w:r>
          </w:p>
        </w:tc>
        <w:tc>
          <w:tcPr/>
          <w:p>
            <w:pPr>
              <w:pStyle w:val="Compact"/>
            </w:pPr>
            <w:r>
              <w:t xml:space="preserve">Predicted bond</w:t>
            </w:r>
          </w:p>
        </w:tc>
      </w:tr>
      <w:tr>
        <w:tc>
          <w:tcPr/>
          <w:p>
            <w:pPr>
              <w:pStyle w:val="Compact"/>
            </w:pPr>
            <w:r>
              <w:t xml:space="preserve">H</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Cl</w:t>
            </w:r>
          </w:p>
        </w:tc>
        <w:tc>
          <w:tcPr/>
          <w:p>
            <w:pPr>
              <w:pStyle w:val="Compact"/>
            </w:pPr>
          </w:p>
        </w:tc>
        <w:tc>
          <w:tcPr/>
          <w:p>
            <w:pPr>
              <w:pStyle w:val="Compact"/>
            </w:pPr>
          </w:p>
        </w:tc>
        <w:tc>
          <w:tcPr/>
          <w:p>
            <w:pPr>
              <w:pStyle w:val="Compact"/>
            </w:pPr>
            <w:r>
              <w:t xml:space="preserve">**___**</w:t>
            </w:r>
          </w:p>
        </w:tc>
        <w:tc>
          <w:tcPr/>
          <w:p>
            <w:pPr>
              <w:pStyle w:val="Compact"/>
            </w:pPr>
            <w:r>
              <w:t xml:space="preserve">**___**</w:t>
            </w:r>
          </w:p>
        </w:tc>
      </w:tr>
    </w:tbl>
    <w:p>
      <w:pPr>
        <w:pStyle w:val="BodyText"/>
      </w:pPr>
      <w:r>
        <w:rPr>
          <w:i/>
          <w:iCs/>
        </w:rPr>
        <w:t xml:space="preserve">(c) Classify the bond in solid iron (Fe). In one sentence, explain how you know without calculating ΔEN.</w:t>
      </w:r>
    </w:p>
    <w:p>
      <w:r>
        <w:pict>
          <v:rect style="width:0;height:1.5pt" o:hralign="center" o:hrstd="t" o:hr="t"/>
        </w:pict>
      </w:r>
    </w:p>
    <w:p>
      <w:r>
        <w:pict>
          <v:rect style="width:0;height:1.5pt" o:hralign="center" o:hrstd="t" o:hr="t"/>
        </w:pict>
      </w:r>
    </w:p>
    <w:bookmarkEnd w:id="22"/>
    <w:bookmarkEnd w:id="23"/>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1"/>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2026-06-01T19:45:31Z</dcterms:created>
  <dcterms:modified xsi:type="dcterms:W3CDTF">2026-06-01T19:45:31Z</dcterms:modified>
</cp:coreProperties>
</file>

<file path=docProps/custom.xml><?xml version="1.0" encoding="utf-8"?>
<Properties xmlns="http://schemas.openxmlformats.org/officeDocument/2006/custom-properties" xmlns:vt="http://schemas.openxmlformats.org/officeDocument/2006/docPropsVTypes"/>
</file>