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1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Xfdc53f51746bd3d13c33b94060338e286317832"/>
    <w:p>
      <w:pPr>
        <w:pStyle w:val="Heading1"/>
      </w:pPr>
      <w:r>
        <w:t xml:space="preserve">Identifying Bond Type &amp; Number — Teacher Guide</w:t>
      </w:r>
    </w:p>
    <w:bookmarkStart w:id="9" w:name="cover"/>
    <w:p>
      <w:pPr>
        <w:pStyle w:val="Heading2"/>
      </w:pPr>
      <w:r>
        <w:t xml:space="preserve">Cover</w:t>
      </w:r>
    </w:p>
    <w:p>
      <w:pPr>
        <w:pStyle w:val="FirstParagraph"/>
      </w:pPr>
      <w:r>
        <w:rPr>
          <w:b/>
          <w:bCs/>
        </w:rPr>
        <w:t xml:space="preserve">Unit: Chemical Bonding — Lesson 02: Identifying Bond Type &amp; Number</w:t>
      </w:r>
      <w:r>
        <w:t xml:space="preserve"> </w:t>
      </w:r>
      <w:r>
        <w:t xml:space="preserve">East Meadow Schools × Valley Stream Central High School District</w:t>
      </w:r>
      <w:r>
        <w:t xml:space="preserve"> </w:t>
      </w:r>
      <w:r>
        <w:t xml:space="preserve">Strategy chips: HOCHMAN</w:t>
      </w:r>
    </w:p>
    <w:p>
      <w:r>
        <w:pict>
          <v:rect style="width:0;height:1.5pt" o:hralign="center" o:hrstd="t" o:hr="t"/>
        </w:pict>
      </w:r>
    </w:p>
    <w:bookmarkEnd w:id="9"/>
    <w:bookmarkStart w:id="14" w:name="X1d84ce80e26e06b680d0971dfbf5d8dedf45843"/>
    <w:p>
      <w:pPr>
        <w:pStyle w:val="Heading2"/>
      </w:pPr>
      <w:r>
        <w:t xml:space="preserve">Curated Resources (from East Meadow Scope &amp; Sequence)</w:t>
      </w:r>
    </w:p>
    <w:bookmarkStart w:id="10" w:name="nyssls-standards"/>
    <w:p>
      <w:pPr>
        <w:pStyle w:val="Heading3"/>
      </w:pPr>
      <w:r>
        <w:t xml:space="preserve">NYSSLS Standards</w:t>
      </w:r>
    </w:p>
    <w:p>
      <w:pPr>
        <w:pStyle w:val="FirstParagraph"/>
      </w:pPr>
      <w:r>
        <w:rPr>
          <w:b/>
          <w:bCs/>
        </w:rPr>
        <w:t xml:space="preserve">HS-PS1-1 (clarification i)</w:t>
      </w:r>
      <w:r>
        <w:t xml:space="preserve"> </w:t>
      </w:r>
      <w:r>
        <w:t xml:space="preserve">—</w:t>
      </w:r>
      <w:r>
        <w:t xml:space="preserve"> </w:t>
      </w:r>
      <w:r>
        <w:rPr>
          <w:i/>
          <w:iCs/>
        </w:rPr>
        <w:t xml:space="preserve">the number and types of bonds (ionic, covalent, metallic) formed by an element and between elements.</w:t>
      </w:r>
      <w:r>
        <w:t xml:space="preserve"> </w:t>
      </w:r>
      <w:r>
        <w:rPr>
          <w:b/>
          <w:bCs/>
        </w:rPr>
        <w:t xml:space="preserve">HS-PS1-2</w:t>
      </w:r>
      <w:r>
        <w:t xml:space="preserve"> </w:t>
      </w:r>
      <w:r>
        <w:t xml:space="preserve">—</w:t>
      </w:r>
      <w:r>
        <w:t xml:space="preserve"> </w:t>
      </w:r>
      <w:r>
        <w:rPr>
          <w:i/>
          <w:iCs/>
        </w:rPr>
        <w:t xml:space="preserve">the numbers and types of bonds (ionic, covalent) that each atom forms, as determined by valence electron states and electronegativity</w:t>
      </w:r>
      <w:r>
        <w:t xml:space="preserve">, and</w:t>
      </w:r>
      <w:r>
        <w:t xml:space="preserve"> </w:t>
      </w:r>
      <w:r>
        <w:rPr>
          <w:i/>
          <w:iCs/>
        </w:rPr>
        <w:t xml:space="preserve">a discussion of how the patterns of attraction allow the prediction of the type of reaction that occurs (e.g., formation of ionic compounds, combustion of hydrocarbons).</w:t>
      </w:r>
    </w:p>
    <w:p>
      <w:pPr>
        <w:pStyle w:val="BodyText"/>
      </w:pPr>
      <w:r>
        <w:t xml:space="preserve">The instructional core of this lesson is predictive: given two elements, students decide whether the bond between them is ionic, covalent, or metallic using two pieces of evidence — the</w:t>
      </w:r>
      <w:r>
        <w:t xml:space="preserve"> </w:t>
      </w:r>
      <w:r>
        <w:rPr>
          <w:b/>
          <w:bCs/>
        </w:rPr>
        <w:t xml:space="preserve">types of elements</w:t>
      </w:r>
      <w:r>
        <w:t xml:space="preserve"> </w:t>
      </w:r>
      <w:r>
        <w:t xml:space="preserve">(metal vs. nonmetal) and the</w:t>
      </w:r>
      <w:r>
        <w:t xml:space="preserve"> </w:t>
      </w:r>
      <w:r>
        <w:rPr>
          <w:b/>
          <w:bCs/>
        </w:rPr>
        <w:t xml:space="preserve">electronegativity difference (ΔEN)</w:t>
      </w:r>
      <w:r>
        <w:t xml:space="preserve"> </w:t>
      </w:r>
      <w:r>
        <w:t xml:space="preserve">read from the Periodic Table / Reference Tables. Per the 2025 NYSSLS-aligned framing, students do not memorize a list of compounds; they apply a rule to any element pair. The bond-type prediction is the entry point to predicting reaction type later in the unit (ionic-compound formation, hydrocarbon combustion), so fluency here is prerequisite to all of HS-PS1-2.</w:t>
      </w:r>
    </w:p>
    <w:p>
      <w:pPr>
        <w:pStyle w:val="BodyText"/>
      </w:pPr>
      <w:r>
        <w:t xml:space="preserve">The Cross-Cutting Concept of</w:t>
      </w:r>
      <w:r>
        <w:t xml:space="preserve"> </w:t>
      </w:r>
      <w:r>
        <w:rPr>
          <w:b/>
          <w:bCs/>
        </w:rPr>
        <w:t xml:space="preserve">Patterns</w:t>
      </w:r>
      <w:r>
        <w:t xml:space="preserve"> </w:t>
      </w:r>
      <w:r>
        <w:t xml:space="preserve">is the explicit lens: bond type is not random — it falls into a predictable pattern set by where the two elements sit on the Periodic Table and how far apart their electronegativities are. Once students see the pattern (large ΔEN → transfer → ionic; small ΔEN → share → covalent; two metals → sea of electrons → metallic), they can predict the bond for a pair they have never seen.</w:t>
      </w:r>
    </w:p>
    <w:bookmarkEnd w:id="10"/>
    <w:bookmarkStart w:id="11" w:name="phenomenon"/>
    <w:p>
      <w:pPr>
        <w:pStyle w:val="Heading3"/>
      </w:pPr>
      <w:r>
        <w:t xml:space="preserve">Phenomenon</w:t>
      </w:r>
    </w:p>
    <w:p>
      <w:pPr>
        <w:pStyle w:val="FirstParagraph"/>
      </w:pPr>
      <w:r>
        <w:t xml:space="preserve">Pour table salt (NaCl) into a glass of water and stir — it disappears, dissolving completely. Pour the same amount of cooking oil into an identical glass of water and stir — it refuses to mix, beading up and floating in a separate layer no matter how hard you shake it. Same solvent, same stirring, two completely different outcomes. The salt is held together by</w:t>
      </w:r>
      <w:r>
        <w:t xml:space="preserve"> </w:t>
      </w:r>
      <w:r>
        <w:rPr>
          <w:b/>
          <w:bCs/>
        </w:rPr>
        <w:t xml:space="preserve">ionic</w:t>
      </w:r>
      <w:r>
        <w:t xml:space="preserve"> </w:t>
      </w:r>
      <w:r>
        <w:t xml:space="preserve">bonds (a metal and a nonmetal, large ΔEN); water, also a polar molecule, can pull those ions apart. The oil is built from long chains of</w:t>
      </w:r>
      <w:r>
        <w:t xml:space="preserve"> </w:t>
      </w:r>
      <w:r>
        <w:rPr>
          <w:b/>
          <w:bCs/>
        </w:rPr>
        <w:t xml:space="preserve">covalent</w:t>
      </w:r>
      <w:r>
        <w:t xml:space="preserve"> </w:t>
      </w:r>
      <w:r>
        <w:t xml:space="preserve">C–H bonds (two nonmetals, tiny ΔEN) that are nonpolar — water has nothing to grab onto. The visible difference at the kitchen scale is a direct readout of the bond type holding each substance together.</w:t>
      </w:r>
    </w:p>
    <w:p>
      <w:pPr>
        <w:pStyle w:val="BodyText"/>
      </w:pPr>
      <w:r>
        <w:rPr>
          <w:b/>
          <w:bCs/>
        </w:rPr>
        <w:t xml:space="preserve">Driving question:</w:t>
      </w:r>
      <w:r>
        <w:t xml:space="preserve"> </w:t>
      </w:r>
      <w:r>
        <w:t xml:space="preserve">Why does salt dissolve in water but oil does not?</w:t>
      </w:r>
    </w:p>
    <w:bookmarkEnd w:id="11"/>
    <w:bookmarkStart w:id="12" w:name="javalab-labs"/>
    <w:p>
      <w:pPr>
        <w:pStyle w:val="Heading3"/>
      </w:pPr>
      <w:r>
        <w:t xml:space="preserve">Javalab / Labs</w:t>
      </w:r>
    </w:p>
    <w:p>
      <w:pPr>
        <w:pStyle w:val="Compact"/>
        <w:numPr>
          <w:ilvl w:val="0"/>
          <w:numId w:val="1001"/>
        </w:numPr>
      </w:pPr>
      <w:r>
        <w:rPr>
          <w:b/>
          <w:bCs/>
        </w:rPr>
        <w:t xml:space="preserve">State Lab:</w:t>
      </w:r>
      <w:r>
        <w:rPr>
          <w:b/>
          <w:bCs/>
        </w:rPr>
        <w:t xml:space="preserve"> </w:t>
      </w:r>
      <w:r>
        <w:rPr>
          <w:b/>
          <w:bCs/>
        </w:rPr>
        <w:t xml:space="preserve">“Bend and Stretch”</w:t>
      </w:r>
      <w:r>
        <w:rPr>
          <w:b/>
          <w:bCs/>
        </w:rPr>
        <w:t xml:space="preserve">:</w:t>
      </w:r>
      <w:r>
        <w:t xml:space="preserve"> </w:t>
      </w:r>
      <w:r>
        <w:t xml:space="preserve">the NYS-recommended hands-on investigation in which students test substances (e.g., ionic salt, a covalent molecular solid, a metal wire/foil) for properties that track bond type — does it bend/stretch (metallic, malleable), shatter (ionic, brittle), or melt at low temperature (molecular covalent)? Students record observations and infer the bond type from the property pattern, then check their inference against the metal/nonmetal classification and ΔEN. The lab report is the unit assessment for this lesson.</w:t>
      </w:r>
    </w:p>
    <w:p>
      <w:pPr>
        <w:pStyle w:val="Compact"/>
        <w:numPr>
          <w:ilvl w:val="0"/>
          <w:numId w:val="1001"/>
        </w:numPr>
      </w:pPr>
      <w:r>
        <w:rPr>
          <w:b/>
          <w:bCs/>
        </w:rPr>
        <w:t xml:space="preserve">Bond-type prediction from electronegativity difference:</w:t>
      </w:r>
      <w:r>
        <w:t xml:space="preserve"> </w:t>
      </w:r>
      <w:r>
        <w:t xml:space="preserve">using the Periodic Table / 2025 Reference Tables, students compute ΔEN for a series of element pairs and classify each bond (ionic / polar covalent / nonpolar covalent / metallic). Each student fills a structured table: pair | element types | EN values | ΔEN | predicted bond type. This is the core skill for the NYSSLS bond-type standard and aligns with the number line in</w:t>
      </w:r>
      <w:r>
        <w:t xml:space="preserve"> </w:t>
      </w:r>
      <w:r>
        <w:rPr>
          <w:rStyle w:val="VerbatimChar"/>
        </w:rPr>
        <w:t xml:space="preserve">figures/bond_type_number_line.png</w:t>
      </w:r>
      <w:r>
        <w:t xml:space="preserve">.</w:t>
      </w:r>
    </w:p>
    <w:p>
      <w:pPr>
        <w:pStyle w:val="Compact"/>
        <w:numPr>
          <w:ilvl w:val="0"/>
          <w:numId w:val="1001"/>
        </w:numPr>
      </w:pPr>
      <w:r>
        <w:rPr>
          <w:b/>
          <w:bCs/>
        </w:rPr>
        <w:t xml:space="preserve">Particle-model sort:</w:t>
      </w:r>
      <w:r>
        <w:t xml:space="preserve"> </w:t>
      </w:r>
      <w:r>
        <w:t xml:space="preserve">students match</w:t>
      </w:r>
      <w:r>
        <w:t xml:space="preserve"> </w:t>
      </w:r>
      <w:r>
        <w:rPr>
          <w:rStyle w:val="VerbatimChar"/>
        </w:rPr>
        <w:t xml:space="preserve">figures/three_bond_types.png</w:t>
      </w:r>
      <w:r>
        <w:t xml:space="preserve"> </w:t>
      </w:r>
      <w:r>
        <w:t xml:space="preserve">panels (electron transfer, shared pair, electron sea) to NaCl, O₂, and Cu, explaining what the valence electrons are doing in each.</w:t>
      </w:r>
    </w:p>
    <w:bookmarkEnd w:id="12"/>
    <w:bookmarkStart w:id="13" w:name="assessments"/>
    <w:p>
      <w:pPr>
        <w:pStyle w:val="Heading3"/>
      </w:pPr>
      <w:r>
        <w:t xml:space="preserve">Assessments</w:t>
      </w:r>
    </w:p>
    <w:p>
      <w:pPr>
        <w:pStyle w:val="Compact"/>
        <w:numPr>
          <w:ilvl w:val="0"/>
          <w:numId w:val="1002"/>
        </w:numPr>
      </w:pPr>
      <w:r>
        <w:rPr>
          <w:b/>
          <w:bCs/>
        </w:rPr>
        <w:t xml:space="preserve">State Lab: Bend and Stretch lab report</w:t>
      </w:r>
      <w:r>
        <w:t xml:space="preserve"> </w:t>
      </w:r>
      <w:r>
        <w:t xml:space="preserve">(district lab requirement; students record property observations, infer bond type from the property pattern, and justify with element types + ΔEN). See</w:t>
      </w:r>
      <w:r>
        <w:t xml:space="preserve"> </w:t>
      </w:r>
      <w:r>
        <w:rPr>
          <w:rStyle w:val="VerbatimChar"/>
        </w:rPr>
        <w:t xml:space="preserve">Assessments/</w:t>
      </w:r>
      <w:r>
        <w:t xml:space="preserve"> </w:t>
      </w:r>
      <w:r>
        <w:t xml:space="preserve">folder once created.</w:t>
      </w:r>
    </w:p>
    <w:p>
      <w:pPr>
        <w:pStyle w:val="Compact"/>
        <w:numPr>
          <w:ilvl w:val="0"/>
          <w:numId w:val="1002"/>
        </w:numPr>
      </w:pPr>
      <w:r>
        <w:rPr>
          <w:b/>
          <w:bCs/>
        </w:rPr>
        <w:t xml:space="preserve">Exit Ticket</w:t>
      </w:r>
      <w:r>
        <w:t xml:space="preserve"> </w:t>
      </w:r>
      <w:r>
        <w:t xml:space="preserve">(Phase 5): three items — predict and justify the bond in MgF₂; predict and justify the bond in HCl; classify the bond in solid iron (Fe). Values are deliberately distinct from the worksheet practice. See</w:t>
      </w:r>
      <w:r>
        <w:t xml:space="preserve"> </w:t>
      </w:r>
      <w:r>
        <w:rPr>
          <w:rStyle w:val="VerbatimChar"/>
        </w:rPr>
        <w:t xml:space="preserve">Answer_Key.docx</w:t>
      </w:r>
      <w:r>
        <w:t xml:space="preserve">.</w:t>
      </w:r>
    </w:p>
    <w:p>
      <w:r>
        <w:pict>
          <v:rect style="width:0;height:1.5pt" o:hralign="center" o:hrstd="t" o:hr="t"/>
        </w:pict>
      </w:r>
    </w:p>
    <w:bookmarkEnd w:id="13"/>
    <w:bookmarkEnd w:id="14"/>
    <w:bookmarkStart w:id="15" w:name="lesson-overview"/>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HS-PS1-1.i and HS-PS1-2 (predict bond type and number from valence electron states, element types, and electronegativity difference)</w:t>
            </w:r>
          </w:p>
        </w:tc>
      </w:tr>
      <w:tr>
        <w:tc>
          <w:tcPr/>
          <w:p>
            <w:pPr>
              <w:pStyle w:val="Compact"/>
            </w:pPr>
            <w:r>
              <w:rPr>
                <w:b/>
                <w:bCs/>
              </w:rPr>
              <w:t xml:space="preserve">CCC focus</w:t>
            </w:r>
          </w:p>
        </w:tc>
        <w:tc>
          <w:tcPr/>
          <w:p>
            <w:pPr>
              <w:pStyle w:val="Compact"/>
            </w:pPr>
            <w:r>
              <w:t xml:space="preserve">Patterns — bond type follows a predictable pattern set by element type (metal vs. nonmetal) and electronegativity difference; the same rule predicts the bond for any element pair</w:t>
            </w:r>
          </w:p>
        </w:tc>
      </w:tr>
      <w:tr>
        <w:tc>
          <w:tcPr/>
          <w:p>
            <w:pPr>
              <w:pStyle w:val="Compact"/>
            </w:pPr>
            <w:r>
              <w:rPr>
                <w:b/>
                <w:bCs/>
              </w:rPr>
              <w:t xml:space="preserve">Strategy chips</w:t>
            </w:r>
          </w:p>
        </w:tc>
        <w:tc>
          <w:tcPr/>
          <w:p>
            <w:pPr>
              <w:pStyle w:val="Compact"/>
            </w:pPr>
            <w:r>
              <w:t xml:space="preserve">HOCHMAN — appositive sentence to define electronegativity crisply; Because/But/So sentence in Phase 4 contrasting salt and oil</w:t>
            </w:r>
          </w:p>
        </w:tc>
      </w:tr>
      <w:tr>
        <w:tc>
          <w:tcPr/>
          <w:p>
            <w:pPr>
              <w:pStyle w:val="Compact"/>
            </w:pPr>
            <w:r>
              <w:rPr>
                <w:b/>
                <w:bCs/>
              </w:rPr>
              <w:t xml:space="preserve">Materials</w:t>
            </w:r>
          </w:p>
        </w:tc>
        <w:tc>
          <w:tcPr/>
          <w:p>
            <w:pPr>
              <w:pStyle w:val="Compact"/>
            </w:pPr>
            <w:r>
              <w:t xml:space="preserve">Periodic Table / 2025 NYS Chemistry Reference Tables (with electronegativity values), two identical clear glasses, water, table salt, cooking oil, calculators,</w:t>
            </w:r>
            <w:r>
              <w:t xml:space="preserve"> </w:t>
            </w:r>
            <w:r>
              <w:rPr>
                <w:rStyle w:val="VerbatimChar"/>
              </w:rPr>
              <w:t xml:space="preserve">figures/bond_type_number_line.png</w:t>
            </w:r>
            <w:r>
              <w:t xml:space="preserve"> </w:t>
            </w:r>
            <w:r>
              <w:t xml:space="preserve">and</w:t>
            </w:r>
            <w:r>
              <w:t xml:space="preserve"> </w:t>
            </w:r>
            <w:r>
              <w:rPr>
                <w:rStyle w:val="VerbatimChar"/>
              </w:rPr>
              <w:t xml:space="preserve">figures/three_bond_types.png</w:t>
            </w:r>
            <w:r>
              <w:t xml:space="preserve"> </w:t>
            </w:r>
            <w:r>
              <w:t xml:space="preserve">projected; (optional) Bend-and-Stretch sample set: a metal foil/wire, an ionic salt, a molecular solid</w:t>
            </w:r>
          </w:p>
        </w:tc>
      </w:tr>
      <w:tr>
        <w:tc>
          <w:tcPr/>
          <w:p>
            <w:pPr>
              <w:pStyle w:val="Compact"/>
            </w:pPr>
            <w:r>
              <w:rPr>
                <w:b/>
                <w:bCs/>
              </w:rPr>
              <w:t xml:space="preserve">Safety</w:t>
            </w:r>
          </w:p>
        </w:tc>
        <w:tc>
          <w:tcPr/>
          <w:p>
            <w:pPr>
              <w:pStyle w:val="Compact"/>
            </w:pPr>
            <w:r>
              <w:t xml:space="preserve">Demonstration substances (salt, oil, water) are food-safe; wipe up oil promptly (slip hazard). Standard lab safety applies. No open flame. If the Bend-and-Stretch sample set is used, follow standard handling for solids.</w:t>
            </w:r>
          </w:p>
        </w:tc>
      </w:tr>
      <w:tr>
        <w:tc>
          <w:tcPr/>
          <w:p>
            <w:pPr>
              <w:pStyle w:val="Compact"/>
            </w:pPr>
            <w:r>
              <w:rPr>
                <w:b/>
                <w:bCs/>
              </w:rPr>
              <w:t xml:space="preserve">Prior knowledge</w:t>
            </w:r>
          </w:p>
        </w:tc>
        <w:tc>
          <w:tcPr/>
          <w:p>
            <w:pPr>
              <w:pStyle w:val="Compact"/>
            </w:pPr>
            <w:r>
              <w:t xml:space="preserve">Lesson 01 (Naming Compounds) — recognizing metals vs. nonmetals on the Periodic Table and reading chemical formulas; earlier units — valence electrons and the octet tendency. Students should be able to locate an element and read values beneath its symbol before this lesson.</w:t>
            </w:r>
          </w:p>
        </w:tc>
      </w:tr>
    </w:tbl>
    <w:p>
      <w:pPr>
        <w:pStyle w:val="BodyText"/>
      </w:pPr>
      <w:r>
        <w:rPr>
          <w:b/>
          <w:bCs/>
        </w:rPr>
        <w:t xml:space="preserve">Lesson objectives — students can:</w:t>
      </w:r>
    </w:p>
    <w:p>
      <w:pPr>
        <w:pStyle w:val="Compact"/>
        <w:numPr>
          <w:ilvl w:val="0"/>
          <w:numId w:val="1003"/>
        </w:numPr>
      </w:pPr>
      <w:r>
        <w:t xml:space="preserve">Classify two elements as metal or nonmetal using the Periodic Table.</w:t>
      </w:r>
    </w:p>
    <w:p>
      <w:pPr>
        <w:pStyle w:val="Compact"/>
        <w:numPr>
          <w:ilvl w:val="0"/>
          <w:numId w:val="1003"/>
        </w:numPr>
      </w:pPr>
      <w:r>
        <w:t xml:space="preserve">Calculate the electronegativity difference (ΔEN) between two bonded elements from Reference Table values.</w:t>
      </w:r>
    </w:p>
    <w:p>
      <w:pPr>
        <w:pStyle w:val="Compact"/>
        <w:numPr>
          <w:ilvl w:val="0"/>
          <w:numId w:val="1003"/>
        </w:numPr>
      </w:pPr>
      <w:r>
        <w:t xml:space="preserve">Predict whether a bond is ionic, covalent (polar or nonpolar), or metallic using element types and ΔEN, and state the number of bonds an atom forms from its valence electrons.</w:t>
      </w:r>
    </w:p>
    <w:p>
      <w:pPr>
        <w:pStyle w:val="Compact"/>
        <w:numPr>
          <w:ilvl w:val="0"/>
          <w:numId w:val="1003"/>
        </w:numPr>
      </w:pPr>
      <w:r>
        <w:t xml:space="preserve">Explain, using the Patterns CCC, why bond type is predictable from an element pair, and connect bond type to the salt-vs-oil dissolving phenomenon.</w:t>
      </w:r>
    </w:p>
    <w:p>
      <w:r>
        <w:pict>
          <v:rect style="width:0;height:1.5pt" o:hralign="center" o:hrstd="t" o:hr="t"/>
        </w:pict>
      </w:r>
    </w:p>
    <w:bookmarkEnd w:id="15"/>
    <w:bookmarkStart w:id="22" w:name="phase-1-engage-0-10-min"/>
    <w:p>
      <w:pPr>
        <w:pStyle w:val="Heading2"/>
      </w:pPr>
      <w:r>
        <w:t xml:space="preserve">Phase 1 · Engage</w:t>
      </w:r>
      <w:r>
        <w:t xml:space="preserve"> </w:t>
      </w:r>
      <w:r>
        <w:rPr>
          <w:i/>
          <w:iCs/>
        </w:rPr>
        <w:t xml:space="preserve">(0 – 10 min)</w:t>
      </w:r>
    </w:p>
    <w:bookmarkStart w:id="16" w:name="min-opening-circle-do-now"/>
    <w:p>
      <w:pPr>
        <w:pStyle w:val="Heading3"/>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“Think of two things that look similar but behave totally differently when you mix them with something — like two powders, one that dissolves in your drink and one that clumps. What came to mind?”</w:t>
      </w:r>
      <w:r>
        <w:t xml:space="preserve"> </w:t>
      </w:r>
      <w:r>
        <w:t xml:space="preserve">One round, one sentence each, no judgment. This surfaces the everyday intuition that what something is made of determines how it behaves — the heart of bonding.</w:t>
      </w:r>
    </w:p>
    <w:p>
      <w:pPr>
        <w:pStyle w:val="BodyText"/>
      </w:pPr>
      <w:r>
        <w:t xml:space="preserve">Then post the</w:t>
      </w:r>
      <w:r>
        <w:t xml:space="preserve"> </w:t>
      </w:r>
      <w:r>
        <w:rPr>
          <w:b/>
          <w:bCs/>
        </w:rPr>
        <w:t xml:space="preserve">Do Now</w:t>
      </w:r>
      <w:r>
        <w:t xml:space="preserve">:</w:t>
      </w:r>
    </w:p>
    <w:p>
      <w:pPr>
        <w:pStyle w:val="BlockText"/>
      </w:pPr>
      <w:r>
        <w:rPr>
          <w:i/>
          <w:iCs/>
        </w:rPr>
        <w:t xml:space="preserve">“Salt disappears when you stir it into water. Oil refuses to mix and floats in its own layer no matter how hard you stir. Both are stirred into the same water. Write one sentence: what do you think is different about salt and oil that makes water treat them so differently?”</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004"/>
        </w:numPr>
      </w:pPr>
      <w:r>
        <w:t xml:space="preserve">“Salt is heavier / lighter than oil.”</w:t>
      </w:r>
      <w:r>
        <w:t xml:space="preserve"> </w:t>
      </w:r>
      <w:r>
        <w:t xml:space="preserve">— capture; gently redirect: it is not mainly about weight — both sink or float for a different reason. What is each one</w:t>
      </w:r>
      <w:r>
        <w:t xml:space="preserve"> </w:t>
      </w:r>
      <w:r>
        <w:rPr>
          <w:i/>
          <w:iCs/>
        </w:rPr>
        <w:t xml:space="preserve">made of</w:t>
      </w:r>
      <w:r>
        <w:t xml:space="preserve">?</w:t>
      </w:r>
    </w:p>
    <w:p>
      <w:pPr>
        <w:pStyle w:val="Compact"/>
        <w:numPr>
          <w:ilvl w:val="0"/>
          <w:numId w:val="1004"/>
        </w:numPr>
      </w:pPr>
      <w:r>
        <w:t xml:space="preserve">“Oil is greasy and water doesn’t like grease.”</w:t>
      </w:r>
      <w:r>
        <w:t xml:space="preserve"> </w:t>
      </w:r>
      <w:r>
        <w:t xml:space="preserve">— close, and a great everyday observation; we will sharpen</w:t>
      </w:r>
      <w:r>
        <w:t xml:space="preserve"> </w:t>
      </w:r>
      <w:r>
        <w:t xml:space="preserve">“doesn’t like”</w:t>
      </w:r>
      <w:r>
        <w:t xml:space="preserve"> </w:t>
      </w:r>
      <w:r>
        <w:t xml:space="preserve">into a statement about the bonds and charges involved.</w:t>
      </w:r>
    </w:p>
    <w:p>
      <w:pPr>
        <w:pStyle w:val="Compact"/>
        <w:numPr>
          <w:ilvl w:val="0"/>
          <w:numId w:val="1004"/>
        </w:numPr>
      </w:pPr>
      <w:r>
        <w:t xml:space="preserve">“Salt breaks apart in water but oil stays together.”</w:t>
      </w:r>
      <w:r>
        <w:t xml:space="preserve"> </w:t>
      </w:r>
      <w:r>
        <w:t xml:space="preserve">— exactly the right notice; validate and probe: what holds salt together, and why can water break it apart but not oil?</w:t>
      </w:r>
    </w:p>
    <w:bookmarkEnd w:id="16"/>
    <w:bookmarkStart w:id="20" w:name="Xf98d9cc4e757835c4c7e561138d83af9a84d81d"/>
    <w:p>
      <w:pPr>
        <w:pStyle w:val="Heading3"/>
      </w:pPr>
      <w:r>
        <w:t xml:space="preserve">3–8 min · Phenomenon hook — salt dissolves, oil does not</w:t>
      </w:r>
    </w:p>
    <w:p>
      <w:pPr>
        <w:pStyle w:val="FirstParagraph"/>
      </w:pPr>
      <w:r>
        <w:rPr>
          <w:b/>
          <w:bCs/>
        </w:rPr>
        <w:t xml:space="preserve">Teacher actions.</w:t>
      </w:r>
      <w:r>
        <w:t xml:space="preserve"> </w:t>
      </w:r>
      <w:r>
        <w:t xml:space="preserve">Set up two identical clear glasses of water side by side. Stir a spoon of salt into the first — it dissolves and vanishes. Stir a spoon of oil into the second — it beads up and floats. Hold them up together.</w:t>
      </w:r>
    </w:p>
    <w:p>
      <w:pPr>
        <w:pStyle w:val="BlockText"/>
      </w:pPr>
      <w:r>
        <w:t xml:space="preserve">“Same water. Same stirring. One substance disappears into the water and one absolutely refuses. The difference is not the water — it’s what kind of</w:t>
      </w:r>
      <w:r>
        <w:t xml:space="preserve"> </w:t>
      </w:r>
      <w:r>
        <w:rPr>
          <w:i/>
          <w:iCs/>
        </w:rPr>
        <w:t xml:space="preserve">bond</w:t>
      </w:r>
      <w:r>
        <w:t xml:space="preserve"> </w:t>
      </w:r>
      <w:r>
        <w:t xml:space="preserve">holds each substance together. By the end of today you’ll be able to look at any two elements and predict the bond between them, and that prediction is exactly what explains this glass.”</w:t>
      </w:r>
    </w:p>
    <w:p>
      <w:pPr>
        <w:pStyle w:val="FirstParagraph"/>
      </w:pPr>
      <w:r>
        <w:t xml:space="preserve">Project</w:t>
      </w:r>
      <w:r>
        <w:t xml:space="preserve"> </w:t>
      </w:r>
      <w:r>
        <w:rPr>
          <w:rStyle w:val="VerbatimChar"/>
        </w:rPr>
        <w:t xml:space="preserve">figures/three_bond_types.png</w:t>
      </w:r>
      <w:r>
        <w:t xml:space="preserve">:</w:t>
      </w:r>
    </w:p>
    <w:p>
      <w:pPr>
        <w:pStyle w:val="CaptionedFigure"/>
      </w:pPr>
      <w:r>
        <w:drawing>
          <wp:inline>
            <wp:extent cx="6121400" cy="2373130"/>
            <wp:effectExtent b="0" l="0" r="0" t="0"/>
            <wp:docPr descr="Three side-by-side particle-model panels. Left, labeled ‘Ionic — metal transfers electron to nonmetal’: an orange Na⁺ ion and a larger blue Cl⁻ ion with a purple arrow showing electron transfer, noted ΔEN large (≥ 1.7). Center, labeled ‘Covalent — nonmetals share electrons’: two purple O atoms with a shared pair of blue electrons between them, noted ΔEN small (less than 1.7). Right, labeled ‘Metallic — metal cations in electron sea’: a lattice of green plus-charged cations surrounded by scattered blue delocalized electrons, noted metal plus metal." title="" id="18" name="Picture"/>
            <a:graphic>
              <a:graphicData uri="http://schemas.openxmlformats.org/drawingml/2006/picture">
                <pic:pic>
                  <pic:nvPicPr>
                    <pic:cNvPr descr="figures/three_bond_types.png" id="19" name="Picture"/>
                    <pic:cNvPicPr>
                      <a:picLocks noChangeArrowheads="1" noChangeAspect="1"/>
                    </pic:cNvPicPr>
                  </pic:nvPicPr>
                  <pic:blipFill>
                    <a:blip r:embed="rId17"/>
                    <a:stretch>
                      <a:fillRect/>
                    </a:stretch>
                  </pic:blipFill>
                  <pic:spPr bwMode="auto">
                    <a:xfrm>
                      <a:off x="0" y="0"/>
                      <a:ext cx="6121400" cy="2373130"/>
                    </a:xfrm>
                    <a:prstGeom prst="rect">
                      <a:avLst/>
                    </a:prstGeom>
                    <a:noFill/>
                    <a:ln w="9525">
                      <a:noFill/>
                      <a:headEnd/>
                      <a:tailEnd/>
                    </a:ln>
                  </pic:spPr>
                </pic:pic>
              </a:graphicData>
            </a:graphic>
          </wp:inline>
        </w:drawing>
      </w:r>
    </w:p>
    <w:p>
      <w:pPr>
        <w:pStyle w:val="ImageCaption"/>
      </w:pPr>
      <w:r>
        <w:t xml:space="preserve">Three side-by-side particle-model panels. Left, labeled</w:t>
      </w:r>
      <w:r>
        <w:t xml:space="preserve"> </w:t>
      </w:r>
      <w:r>
        <w:t xml:space="preserve">‘Ionic — metal transfers electron to nonmetal’</w:t>
      </w:r>
      <w:r>
        <w:t xml:space="preserve">: an orange Na⁺ ion and a larger blue Cl⁻ ion with a purple arrow showing electron transfer, noted ΔEN large (≥ 1.7). Center, labeled</w:t>
      </w:r>
      <w:r>
        <w:t xml:space="preserve"> </w:t>
      </w:r>
      <w:r>
        <w:t xml:space="preserve">‘Covalent — nonmetals share electrons’</w:t>
      </w:r>
      <w:r>
        <w:t xml:space="preserve">: two purple O atoms with a shared pair of blue electrons between them, noted ΔEN small (less than 1.7). Right, labeled</w:t>
      </w:r>
      <w:r>
        <w:t xml:space="preserve"> </w:t>
      </w:r>
      <w:r>
        <w:t xml:space="preserve">‘Metallic — metal cations in electron sea’</w:t>
      </w:r>
      <w:r>
        <w:t xml:space="preserve">: a lattice of green plus-charged cations surrounded by scattered blue delocalized electrons, noted metal plus metal.</w:t>
      </w:r>
    </w:p>
    <w:p>
      <w:pPr>
        <w:pStyle w:val="BodyText"/>
      </w:pPr>
      <w:r>
        <w:rPr>
          <w:b/>
          <w:bCs/>
        </w:rPr>
        <w:t xml:space="preserve">Sample teacher language:</w:t>
      </w:r>
    </w:p>
    <w:p>
      <w:pPr>
        <w:pStyle w:val="BlockText"/>
      </w:pPr>
      <w:r>
        <w:t xml:space="preserve">“Three ways atoms can be held together. On the left, a metal hands an electron to a nonmetal — that’s an</w:t>
      </w:r>
      <w:r>
        <w:t xml:space="preserve"> </w:t>
      </w:r>
      <w:r>
        <w:rPr>
          <w:i/>
          <w:iCs/>
        </w:rPr>
        <w:t xml:space="preserve">ionic</w:t>
      </w:r>
      <w:r>
        <w:t xml:space="preserve"> </w:t>
      </w:r>
      <w:r>
        <w:t xml:space="preserve">bond, and it makes charged ions, which is exactly why water can pull salt apart. In the middle, two nonmetals</w:t>
      </w:r>
      <w:r>
        <w:t xml:space="preserve"> </w:t>
      </w:r>
      <w:r>
        <w:rPr>
          <w:i/>
          <w:iCs/>
        </w:rPr>
        <w:t xml:space="preserve">share</w:t>
      </w:r>
      <w:r>
        <w:t xml:space="preserve"> </w:t>
      </w:r>
      <w:r>
        <w:t xml:space="preserve">electrons — that’s a</w:t>
      </w:r>
      <w:r>
        <w:t xml:space="preserve"> </w:t>
      </w:r>
      <w:r>
        <w:rPr>
          <w:i/>
          <w:iCs/>
        </w:rPr>
        <w:t xml:space="preserve">covalent</w:t>
      </w:r>
      <w:r>
        <w:t xml:space="preserve"> </w:t>
      </w:r>
      <w:r>
        <w:t xml:space="preserve">bond, and oil is full of these. On the right, a pile of metal atoms pool their electrons into a shared</w:t>
      </w:r>
      <w:r>
        <w:t xml:space="preserve"> </w:t>
      </w:r>
      <w:r>
        <w:t xml:space="preserve">‘sea’</w:t>
      </w:r>
      <w:r>
        <w:t xml:space="preserve"> </w:t>
      </w:r>
      <w:r>
        <w:t xml:space="preserve">— that’s a</w:t>
      </w:r>
      <w:r>
        <w:t xml:space="preserve"> </w:t>
      </w:r>
      <w:r>
        <w:rPr>
          <w:i/>
          <w:iCs/>
        </w:rPr>
        <w:t xml:space="preserve">metallic</w:t>
      </w:r>
      <w:r>
        <w:t xml:space="preserve"> </w:t>
      </w:r>
      <w:r>
        <w:t xml:space="preserve">bond. Today’s job: given any two elements, decide which of these three you get.”</w:t>
      </w:r>
    </w:p>
    <w:p>
      <w:pPr>
        <w:pStyle w:val="FirstParagraph"/>
      </w:pPr>
      <w:r>
        <w:rPr>
          <w:b/>
          <w:bCs/>
        </w:rPr>
        <w:t xml:space="preserve">Anticipated student responses:</w:t>
      </w:r>
    </w:p>
    <w:p>
      <w:pPr>
        <w:pStyle w:val="Compact"/>
        <w:numPr>
          <w:ilvl w:val="0"/>
          <w:numId w:val="1005"/>
        </w:numPr>
      </w:pPr>
      <w:r>
        <w:t xml:space="preserve">“How do you know which one you get?”</w:t>
      </w:r>
      <w:r>
        <w:t xml:space="preserve"> </w:t>
      </w:r>
      <w:r>
        <w:t xml:space="preserve">— exactly the question; the answer is two clues, the element types and how far apart their electronegativities are. We’ll build that this period.</w:t>
      </w:r>
    </w:p>
    <w:p>
      <w:pPr>
        <w:pStyle w:val="Compact"/>
        <w:numPr>
          <w:ilvl w:val="0"/>
          <w:numId w:val="1005"/>
        </w:numPr>
      </w:pPr>
      <w:r>
        <w:t xml:space="preserve">“Why does ionic dissolve and covalent oil doesn’t?”</w:t>
      </w:r>
      <w:r>
        <w:t xml:space="preserve"> </w:t>
      </w:r>
      <w:r>
        <w:t xml:space="preserve">— because ionic salt is made of charges, and water is also charged on its ends, so it grabs the ions; nonpolar oil has no charges to grab. We’ll return to this in Phase 4.</w:t>
      </w:r>
    </w:p>
    <w:p>
      <w:pPr>
        <w:pStyle w:val="Compact"/>
        <w:numPr>
          <w:ilvl w:val="0"/>
          <w:numId w:val="1005"/>
        </w:numPr>
      </w:pPr>
      <w:r>
        <w:t xml:space="preserve">“Is metallic why metals bend?”</w:t>
      </w:r>
      <w:r>
        <w:t xml:space="preserve"> </w:t>
      </w:r>
      <w:r>
        <w:t xml:space="preserve">— yes — that shared electron sea lets the atoms slide past each other, which is the Bend-and-Stretch property. Hold that thought.</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Why does salt dissolve in water but oil does not?</w:t>
      </w:r>
    </w:p>
    <w:bookmarkEnd w:id="20"/>
    <w:bookmarkStart w:id="21" w:name="min-notice-wonder-turn-and-talk-1"/>
    <w:p>
      <w:pPr>
        <w:pStyle w:val="Heading3"/>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two glasses or the particle-model panels. Then:</w:t>
      </w:r>
    </w:p>
    <w:p>
      <w:pPr>
        <w:pStyle w:val="BlockText"/>
      </w:pPr>
      <w:r>
        <w:t xml:space="preserve">“Turn to your partner: salt (NaCl) is a metal joined to a nonmetal; oil is mostly carbon and hydrogen — two nonmetals — joined together. Just from</w:t>
      </w:r>
      <w:r>
        <w:t xml:space="preserve"> </w:t>
      </w:r>
      <w:r>
        <w:rPr>
          <w:i/>
          <w:iCs/>
        </w:rPr>
        <w:t xml:space="preserve">what kinds of elements</w:t>
      </w:r>
      <w:r>
        <w:t xml:space="preserve"> </w:t>
      </w:r>
      <w:r>
        <w:t xml:space="preserve">are involved, can you predict which substance is held together by transfer and which by sharing? What clue are you using?”</w:t>
      </w:r>
    </w:p>
    <w:p>
      <w:pPr>
        <w:pStyle w:val="FirstParagraph"/>
      </w:pPr>
      <w:r>
        <w:t xml:space="preserve">Target insight: a metal + a nonmetal tends to</w:t>
      </w:r>
      <w:r>
        <w:t xml:space="preserve"> </w:t>
      </w:r>
      <w:r>
        <w:rPr>
          <w:i/>
          <w:iCs/>
        </w:rPr>
        <w:t xml:space="preserve">transfer</w:t>
      </w:r>
      <w:r>
        <w:t xml:space="preserve"> </w:t>
      </w:r>
      <w:r>
        <w:t xml:space="preserve">electrons (ionic, like salt); two nonmetals tend to</w:t>
      </w:r>
      <w:r>
        <w:t xml:space="preserve"> </w:t>
      </w:r>
      <w:r>
        <w:rPr>
          <w:i/>
          <w:iCs/>
        </w:rPr>
        <w:t xml:space="preserve">share</w:t>
      </w:r>
      <w:r>
        <w:t xml:space="preserve"> </w:t>
      </w:r>
      <w:r>
        <w:t xml:space="preserve">(covalent, like oil). The kind of element is the first clue. We will add a second, sharper clue — the electronegativity difference — in the investigation.</w:t>
      </w:r>
    </w:p>
    <w:p>
      <w:r>
        <w:pict>
          <v:rect style="width:0;height:1.5pt" o:hralign="center" o:hrstd="t" o:hr="t"/>
        </w:pict>
      </w:r>
    </w:p>
    <w:bookmarkEnd w:id="21"/>
    <w:bookmarkEnd w:id="22"/>
    <w:bookmarkStart w:id="30" w:name="phase-2-explore-10-30-min"/>
    <w:p>
      <w:pPr>
        <w:pStyle w:val="Heading2"/>
      </w:pPr>
      <w:r>
        <w:t xml:space="preserve">Phase 2 · Explore</w:t>
      </w:r>
      <w:r>
        <w:t xml:space="preserve"> </w:t>
      </w:r>
      <w:r>
        <w:rPr>
          <w:i/>
          <w:iCs/>
        </w:rPr>
        <w:t xml:space="preserve">(10 – 30 min)</w:t>
      </w:r>
    </w:p>
    <w:bookmarkStart w:id="23" w:name="X08b4fe1c987e5888457223996296bae78001cc3"/>
    <w:p>
      <w:pPr>
        <w:pStyle w:val="Heading3"/>
      </w:pPr>
      <w:r>
        <w:t xml:space="preserve">10–15 min · ABCs Activity — predict bond type from element types before any formal rule</w:t>
      </w:r>
    </w:p>
    <w:p>
      <w:pPr>
        <w:pStyle w:val="FirstParagraph"/>
      </w:pPr>
      <w:r>
        <w:rPr>
          <w:b/>
          <w:bCs/>
        </w:rPr>
        <w:t xml:space="preserve">Before any formal vocabulary or numeric cutoff is introduced</w:t>
      </w:r>
      <w:r>
        <w:t xml:space="preserve">, students build intuition by sorting element pairs using only the metal/nonmetal clue from Phase 1.</w:t>
      </w:r>
    </w:p>
    <w:p>
      <w:pPr>
        <w:pStyle w:val="BodyText"/>
      </w:pPr>
      <w:r>
        <w:t xml:space="preserve">Each student receives the pair list (or examines the projection). The task:</w:t>
      </w:r>
    </w:p>
    <w:p>
      <w:pPr>
        <w:pStyle w:val="BodyText"/>
      </w:pPr>
      <w:r>
        <w:rPr>
          <w:b/>
          <w:bCs/>
        </w:rPr>
        <w:t xml:space="preserve">Part 1 — Sort by element type:</w:t>
      </w:r>
    </w:p>
    <w:p>
      <w:pPr>
        <w:pStyle w:val="BlockText"/>
      </w:pPr>
      <w:r>
        <w:t xml:space="preserve">“Without any numbers yet — just by looking at whether each element is a metal or a nonmetal on your Periodic Table — predict whether each pair below transfers electrons (likely ionic) or shares electrons (likely covalent). Two metals together is a special third case — circle it.”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Pair</w:t>
            </w:r>
          </w:p>
        </w:tc>
        <w:tc>
          <w:tcPr/>
          <w:p>
            <w:pPr>
              <w:pStyle w:val="Compact"/>
            </w:pPr>
            <w:r>
              <w:t xml:space="preserve">Element types</w:t>
            </w:r>
          </w:p>
        </w:tc>
        <w:tc>
          <w:tcPr/>
          <w:p>
            <w:pPr>
              <w:pStyle w:val="Compact"/>
            </w:pPr>
            <w:r>
              <w:t xml:space="preserve">Your prediction: transfer or share?</w:t>
            </w:r>
          </w:p>
        </w:tc>
      </w:tr>
      <w:tr>
        <w:tc>
          <w:tcPr/>
          <w:p>
            <w:pPr>
              <w:pStyle w:val="Compact"/>
            </w:pPr>
            <w:r>
              <w:t xml:space="preserve">Na and Cl</w:t>
            </w:r>
          </w:p>
        </w:tc>
        <w:tc>
          <w:tcPr/>
          <w:p>
            <w:pPr>
              <w:pStyle w:val="Compact"/>
            </w:pPr>
            <w:r>
              <w:t xml:space="preserve">metal + nonmetal</w:t>
            </w:r>
          </w:p>
        </w:tc>
        <w:tc>
          <w:tcPr/>
          <w:p>
            <w:pPr>
              <w:pStyle w:val="Compact"/>
            </w:pPr>
          </w:p>
        </w:tc>
      </w:tr>
      <w:tr>
        <w:tc>
          <w:tcPr/>
          <w:p>
            <w:pPr>
              <w:pStyle w:val="Compact"/>
            </w:pPr>
            <w:r>
              <w:t xml:space="preserve">O and O</w:t>
            </w:r>
          </w:p>
        </w:tc>
        <w:tc>
          <w:tcPr/>
          <w:p>
            <w:pPr>
              <w:pStyle w:val="Compact"/>
            </w:pPr>
            <w:r>
              <w:t xml:space="preserve">nonmetal + nonmetal</w:t>
            </w:r>
          </w:p>
        </w:tc>
        <w:tc>
          <w:tcPr/>
          <w:p>
            <w:pPr>
              <w:pStyle w:val="Compact"/>
            </w:pPr>
          </w:p>
        </w:tc>
      </w:tr>
      <w:tr>
        <w:tc>
          <w:tcPr/>
          <w:p>
            <w:pPr>
              <w:pStyle w:val="Compact"/>
            </w:pPr>
            <w:r>
              <w:t xml:space="preserve">H and O</w:t>
            </w:r>
          </w:p>
        </w:tc>
        <w:tc>
          <w:tcPr/>
          <w:p>
            <w:pPr>
              <w:pStyle w:val="Compact"/>
            </w:pPr>
            <w:r>
              <w:t xml:space="preserve">nonmetal + nonmetal</w:t>
            </w:r>
          </w:p>
        </w:tc>
        <w:tc>
          <w:tcPr/>
          <w:p>
            <w:pPr>
              <w:pStyle w:val="Compact"/>
            </w:pPr>
          </w:p>
        </w:tc>
      </w:tr>
      <w:tr>
        <w:tc>
          <w:tcPr/>
          <w:p>
            <w:pPr>
              <w:pStyle w:val="Compact"/>
            </w:pPr>
            <w:r>
              <w:t xml:space="preserve">Cu and Cu</w:t>
            </w:r>
          </w:p>
        </w:tc>
        <w:tc>
          <w:tcPr/>
          <w:p>
            <w:pPr>
              <w:pStyle w:val="Compact"/>
            </w:pPr>
            <w:r>
              <w:t xml:space="preserve">metal + metal</w:t>
            </w:r>
          </w:p>
        </w:tc>
        <w:tc>
          <w:tcPr/>
          <w:p>
            <w:pPr>
              <w:pStyle w:val="Compact"/>
            </w:pPr>
          </w:p>
        </w:tc>
      </w:tr>
    </w:tbl>
    <w:p>
      <w:pPr>
        <w:pStyle w:val="BodyText"/>
      </w:pPr>
      <w:r>
        <w:rPr>
          <w:b/>
          <w:bCs/>
        </w:rPr>
        <w:t xml:space="preserve">Part 2 — Surface the limit of the rule:</w:t>
      </w:r>
    </w:p>
    <w:p>
      <w:pPr>
        <w:pStyle w:val="BlockText"/>
      </w:pPr>
      <w:r>
        <w:t xml:space="preserve">“The metal/nonmetal clue works most of the time, but it’s blunt. H and O are both nonmetals, so</w:t>
      </w:r>
      <w:r>
        <w:t xml:space="preserve"> </w:t>
      </w:r>
      <w:r>
        <w:t xml:space="preserve">‘share’</w:t>
      </w:r>
      <w:r>
        <w:t xml:space="preserve"> </w:t>
      </w:r>
      <w:r>
        <w:t xml:space="preserve">— but water is famous for being slightly charged on its ends. And some nonmetal pairs share very unevenly. We need a sharper tool than just metal-or-nonmetal. What number on the Periodic Table could measure how strongly each atom pulls on shared electrons?”</w:t>
      </w:r>
    </w:p>
    <w:p>
      <w:pPr>
        <w:pStyle w:val="FirstParagraph"/>
      </w:pPr>
      <w:r>
        <w:rPr>
          <w:b/>
          <w:bCs/>
        </w:rPr>
        <w:t xml:space="preserve">Teacher facilitation language (circulate):</w:t>
      </w:r>
    </w:p>
    <w:p>
      <w:pPr>
        <w:pStyle w:val="BlockText"/>
      </w:pPr>
      <w:r>
        <w:t xml:space="preserve">“Before I give you the cutoff, just use the element types. Where do you see a metal paired with a nonmetal? That’s your transfer case. Where do you see two nonmetals? That’s a sharing case. Where do you see two metals? That’s the third, special case — the electron sea.”</w:t>
      </w:r>
    </w:p>
    <w:p>
      <w:pPr>
        <w:pStyle w:val="BlockText"/>
      </w:pPr>
      <w:r>
        <w:t xml:space="preserve">“O₂ is two of the</w:t>
      </w:r>
      <w:r>
        <w:t xml:space="preserve"> </w:t>
      </w:r>
      <w:r>
        <w:rPr>
          <w:i/>
          <w:iCs/>
        </w:rPr>
        <w:t xml:space="preserve">same</w:t>
      </w:r>
      <w:r>
        <w:t xml:space="preserve"> </w:t>
      </w:r>
      <w:r>
        <w:t xml:space="preserve">atom — they pull on the shared electrons equally. NaCl is a metal and a nonmetal that pull</w:t>
      </w:r>
      <w:r>
        <w:t xml:space="preserve"> </w:t>
      </w:r>
      <w:r>
        <w:rPr>
          <w:i/>
          <w:iCs/>
        </w:rPr>
        <w:t xml:space="preserve">very</w:t>
      </w:r>
      <w:r>
        <w:t xml:space="preserve"> </w:t>
      </w:r>
      <w:r>
        <w:t xml:space="preserve">unequally. What if there were a number that told us exactly how unequal the pull is?”</w:t>
      </w:r>
    </w:p>
    <w:p>
      <w:pPr>
        <w:pStyle w:val="FirstParagraph"/>
      </w:pPr>
      <w:r>
        <w:rPr>
          <w:b/>
          <w:bCs/>
        </w:rPr>
        <w:t xml:space="preserve">Anticipated student responses during ABCs:</w:t>
      </w:r>
    </w:p>
    <w:p>
      <w:pPr>
        <w:pStyle w:val="Compact"/>
        <w:numPr>
          <w:ilvl w:val="0"/>
          <w:numId w:val="1006"/>
        </w:numPr>
      </w:pPr>
      <w:r>
        <w:t xml:space="preserve">“Na and Cl is metal + nonmetal, so transfer — that’s ionic like salt.”</w:t>
      </w:r>
      <w:r>
        <w:t xml:space="preserve"> </w:t>
      </w:r>
      <w:r>
        <w:t xml:space="preserve">— excellent; that matches the phenomenon. Affirm and ask how confident the rule is.</w:t>
      </w:r>
    </w:p>
    <w:p>
      <w:pPr>
        <w:pStyle w:val="Compact"/>
        <w:numPr>
          <w:ilvl w:val="0"/>
          <w:numId w:val="1006"/>
        </w:numPr>
      </w:pPr>
      <w:r>
        <w:t xml:space="preserve">“Cu and Cu — two metals — I don’t know what that does.”</w:t>
      </w:r>
      <w:r>
        <w:t xml:space="preserve"> </w:t>
      </w:r>
      <w:r>
        <w:t xml:space="preserve">— perfect place to be; that’s metallic, the electron sea on the right panel. We’ll name it formally soon.</w:t>
      </w:r>
    </w:p>
    <w:p>
      <w:pPr>
        <w:pStyle w:val="Compact"/>
        <w:numPr>
          <w:ilvl w:val="0"/>
          <w:numId w:val="1006"/>
        </w:numPr>
      </w:pPr>
      <w:r>
        <w:t xml:space="preserve">“H and O are both nonmetals so they share, but water acts a little charged.”</w:t>
      </w:r>
      <w:r>
        <w:t xml:space="preserve"> </w:t>
      </w:r>
      <w:r>
        <w:t xml:space="preserve">— sharp observation; that’s exactly why we need the electronegativity number, not just metal-or-nonmetal.</w:t>
      </w:r>
    </w:p>
    <w:bookmarkEnd w:id="23"/>
    <w:bookmarkStart w:id="27" w:name="X68b119591b187e59380a7c985139d67e34824f2"/>
    <w:p>
      <w:pPr>
        <w:pStyle w:val="Heading3"/>
      </w:pPr>
      <w:r>
        <w:t xml:space="preserve">15–22 min · Initial Model — first ΔEN calculation from Reference Table values</w:t>
      </w:r>
    </w:p>
    <w:p>
      <w:pPr>
        <w:pStyle w:val="FirstParagraph"/>
      </w:pPr>
      <w:r>
        <w:rPr>
          <w:b/>
          <w:bCs/>
        </w:rPr>
        <w:t xml:space="preserve">Prompt on the board</w:t>
      </w:r>
      <w:r>
        <w:t xml:space="preserve"> </w:t>
      </w:r>
      <w:r>
        <w:t xml:space="preserve">(electronegativity values from the Reference Tables: Na = 0.9, Cl = 3.0, O = 3.5, H = 2.1):</w:t>
      </w:r>
    </w:p>
    <w:p>
      <w:pPr>
        <w:pStyle w:val="BlockText"/>
      </w:pPr>
      <w:r>
        <w:rPr>
          <w:i/>
          <w:iCs/>
        </w:rPr>
        <w:t xml:space="preserve">“Before we name the process: electronegativity is how strongly an atom pulls on shared electrons. Look up the electronegativity of Na and Cl, then subtract the smaller from the larger to get the difference (ΔEN). Then do the same for the two oxygens in O₂. Which pair has the bigger difference?”</w:t>
      </w:r>
    </w:p>
    <w:p>
      <w:pPr>
        <w:pStyle w:val="FirstParagraph"/>
      </w:pPr>
      <w:r>
        <w:t xml:space="preserve">Students work individually for 3 minutes, then compare with a partner.</w:t>
      </w:r>
    </w:p>
    <w:p>
      <w:pPr>
        <w:pStyle w:val="BodyText"/>
      </w:pPr>
      <w:r>
        <w:t xml:space="preserve">Target answers:</w:t>
      </w:r>
    </w:p>
    <w:p>
      <w:pPr>
        <w:pStyle w:val="BlockText"/>
      </w:pPr>
      <w:r>
        <w:t xml:space="preserve">NaCl: ΔEN = 3.0 − 0.9 =</w:t>
      </w:r>
      <w:r>
        <w:t xml:space="preserve"> </w:t>
      </w:r>
      <w:r>
        <w:rPr>
          <w:b/>
          <w:bCs/>
        </w:rPr>
        <w:t xml:space="preserve">2.1</w:t>
      </w:r>
      <w:r>
        <w:t xml:space="preserve"> </w:t>
      </w:r>
      <w:r>
        <w:t xml:space="preserve">(very large — the metal barely holds its electron; Cl takes it → transfer → ionic)</w:t>
      </w:r>
      <w:r>
        <w:t xml:space="preserve"> </w:t>
      </w:r>
      <w:r>
        <w:t xml:space="preserve">O₂: ΔEN = 3.5 − 3.5 =</w:t>
      </w:r>
      <w:r>
        <w:t xml:space="preserve"> </w:t>
      </w:r>
      <w:r>
        <w:rPr>
          <w:b/>
          <w:bCs/>
        </w:rPr>
        <w:t xml:space="preserve">0</w:t>
      </w:r>
      <w:r>
        <w:t xml:space="preserve"> </w:t>
      </w:r>
      <w:r>
        <w:t xml:space="preserve">(identical atoms pull equally → perfectly even sharing → nonpolar covalent)</w:t>
      </w:r>
    </w:p>
    <w:p>
      <w:pPr>
        <w:pStyle w:val="FirstParagraph"/>
      </w:pPr>
      <w:r>
        <w:rPr>
          <w:b/>
          <w:bCs/>
        </w:rPr>
        <w:t xml:space="preserve">Teacher facilitation language:</w:t>
      </w:r>
    </w:p>
    <w:p>
      <w:pPr>
        <w:pStyle w:val="BlockText"/>
      </w:pPr>
      <w:r>
        <w:t xml:space="preserve">“Look at the two differences. NaCl gives 2.1 — a huge gap. O₂ gives 0 — no gap at all. Now look at the number line I’m projecting. Where does 2.1 land? Where does 0 land? You’ve just predicted two bond types before I gave you a single rule.”</w:t>
      </w:r>
    </w:p>
    <w:p>
      <w:pPr>
        <w:pStyle w:val="FirstParagraph"/>
      </w:pPr>
      <w:r>
        <w:t xml:space="preserve">Project</w:t>
      </w:r>
      <w:r>
        <w:t xml:space="preserve"> </w:t>
      </w:r>
      <w:r>
        <w:rPr>
          <w:rStyle w:val="VerbatimChar"/>
        </w:rPr>
        <w:t xml:space="preserve">figures/bond_type_number_line.png</w:t>
      </w:r>
      <w:r>
        <w:t xml:space="preserve">:</w:t>
      </w:r>
    </w:p>
    <w:p>
      <w:pPr>
        <w:pStyle w:val="CaptionedFigure"/>
      </w:pPr>
      <w:r>
        <w:drawing>
          <wp:inline>
            <wp:extent cx="5907024" cy="2816352"/>
            <wp:effectExtent b="0" l="0" r="0" t="0"/>
            <wp:docPr descr="A horizontal number line of electronegativity difference (ΔEN) from 0 to 3.3, divided into three colored bands: 0 to 0.4 labeled ‘Nonpolar covalent’ (blue), 0.4 to 1.7 labeled ‘Polar covalent’ (green), and 1.7 to 3.3 labeled ‘Ionic’ (orange). Below the line, dashed markers show worked examples: O₂ at ΔEN = 0, the C–H bond at ΔEN = 0.4, H₂O at ΔEN = 1.4, and NaCl at ΔEN = 2.1. A note above reads ‘Metal + metal → metallic bond (not on the ΔEN scale: shared sea of electrons).’" title="" id="25" name="Picture"/>
            <a:graphic>
              <a:graphicData uri="http://schemas.openxmlformats.org/drawingml/2006/picture">
                <pic:pic>
                  <pic:nvPicPr>
                    <pic:cNvPr descr="figures/bond_type_number_line.png" id="26" name="Picture"/>
                    <pic:cNvPicPr>
                      <a:picLocks noChangeArrowheads="1" noChangeAspect="1"/>
                    </pic:cNvPicPr>
                  </pic:nvPicPr>
                  <pic:blipFill>
                    <a:blip r:embed="rId24"/>
                    <a:stretch>
                      <a:fillRect/>
                    </a:stretch>
                  </pic:blipFill>
                  <pic:spPr bwMode="auto">
                    <a:xfrm>
                      <a:off x="0" y="0"/>
                      <a:ext cx="5907024" cy="2816352"/>
                    </a:xfrm>
                    <a:prstGeom prst="rect">
                      <a:avLst/>
                    </a:prstGeom>
                    <a:noFill/>
                    <a:ln w="9525">
                      <a:noFill/>
                      <a:headEnd/>
                      <a:tailEnd/>
                    </a:ln>
                  </pic:spPr>
                </pic:pic>
              </a:graphicData>
            </a:graphic>
          </wp:inline>
        </w:drawing>
      </w:r>
    </w:p>
    <w:p>
      <w:pPr>
        <w:pStyle w:val="ImageCaption"/>
      </w:pPr>
      <w:r>
        <w:t xml:space="preserve">A horizontal number line of electronegativity difference (ΔEN) from 0 to 3.3, divided into three colored bands: 0 to 0.4 labeled</w:t>
      </w:r>
      <w:r>
        <w:t xml:space="preserve"> </w:t>
      </w:r>
      <w:r>
        <w:t xml:space="preserve">‘Nonpolar covalent’</w:t>
      </w:r>
      <w:r>
        <w:t xml:space="preserve"> </w:t>
      </w:r>
      <w:r>
        <w:t xml:space="preserve">(blue), 0.4 to 1.7 labeled</w:t>
      </w:r>
      <w:r>
        <w:t xml:space="preserve"> </w:t>
      </w:r>
      <w:r>
        <w:t xml:space="preserve">‘Polar covalent’</w:t>
      </w:r>
      <w:r>
        <w:t xml:space="preserve"> </w:t>
      </w:r>
      <w:r>
        <w:t xml:space="preserve">(green), and 1.7 to 3.3 labeled</w:t>
      </w:r>
      <w:r>
        <w:t xml:space="preserve"> </w:t>
      </w:r>
      <w:r>
        <w:t xml:space="preserve">‘Ionic’</w:t>
      </w:r>
      <w:r>
        <w:t xml:space="preserve"> </w:t>
      </w:r>
      <w:r>
        <w:t xml:space="preserve">(orange). Below the line, dashed markers show worked examples: O₂ at ΔEN = 0, the C–H bond at ΔEN = 0.4, H₂O at ΔEN = 1.4, and NaCl at ΔEN = 2.1. A note above reads</w:t>
      </w:r>
      <w:r>
        <w:t xml:space="preserve"> </w:t>
      </w:r>
      <w:r>
        <w:t xml:space="preserve">‘Metal + metal → metallic bond (not on the ΔEN scale: shared sea of electrons).’</w:t>
      </w:r>
    </w:p>
    <w:p>
      <w:pPr>
        <w:pStyle w:val="BodyText"/>
      </w:pPr>
      <w:r>
        <w:rPr>
          <w:b/>
          <w:bCs/>
        </w:rPr>
        <w:t xml:space="preserve">Anticipated student responses:</w:t>
      </w:r>
    </w:p>
    <w:p>
      <w:pPr>
        <w:pStyle w:val="Compact"/>
        <w:numPr>
          <w:ilvl w:val="0"/>
          <w:numId w:val="1007"/>
        </w:numPr>
      </w:pPr>
      <w:r>
        <w:t xml:space="preserve">“I got 2.1 for NaCl — that’s in the orange ionic part.”</w:t>
      </w:r>
      <w:r>
        <w:t xml:space="preserve"> </w:t>
      </w:r>
      <w:r>
        <w:t xml:space="preserve">— exactly; large difference means one atom wins the electrons outright, so they transfer.</w:t>
      </w:r>
    </w:p>
    <w:p>
      <w:pPr>
        <w:pStyle w:val="Compact"/>
        <w:numPr>
          <w:ilvl w:val="0"/>
          <w:numId w:val="1007"/>
        </w:numPr>
      </w:pPr>
      <w:r>
        <w:t xml:space="preserve">“O₂ is 0 — so it’s in the nonpolar covalent band?”</w:t>
      </w:r>
      <w:r>
        <w:t xml:space="preserve"> </w:t>
      </w:r>
      <w:r>
        <w:t xml:space="preserve">— yes; identical atoms share perfectly evenly, the most even kind of sharing.</w:t>
      </w:r>
    </w:p>
    <w:p>
      <w:pPr>
        <w:pStyle w:val="Compact"/>
        <w:numPr>
          <w:ilvl w:val="0"/>
          <w:numId w:val="1007"/>
        </w:numPr>
      </w:pPr>
      <w:r>
        <w:t xml:space="preserve">“Do I always subtract small from big?”</w:t>
      </w:r>
      <w:r>
        <w:t xml:space="preserve"> </w:t>
      </w:r>
      <w:r>
        <w:t xml:space="preserve">— yes; ΔEN is a distance, so it’s never negative — always larger minus smaller.</w:t>
      </w:r>
    </w:p>
    <w:bookmarkEnd w:id="27"/>
    <w:bookmarkStart w:id="28" w:name="X2751f6c8cf939b1ae40742ad330ff1df4f78833"/>
    <w:p>
      <w:pPr>
        <w:pStyle w:val="Heading3"/>
      </w:pPr>
      <w:r>
        <w:t xml:space="preserve">22–30 min · Investigation — group bond-type prediction practice</w:t>
      </w:r>
    </w:p>
    <w:p>
      <w:pPr>
        <w:pStyle w:val="FirstParagraph"/>
      </w:pPr>
      <w:r>
        <w:t xml:space="preserve">Groups of three or four work through a structured practice set. Each student fills in the prediction table individually and then compares with the group. (These are the same pairs students will confirm in</w:t>
      </w:r>
      <w:r>
        <w:t xml:space="preserve"> </w:t>
      </w:r>
      <w:r>
        <w:rPr>
          <w:i/>
          <w:iCs/>
        </w:rPr>
        <w:t xml:space="preserve">Make It Make Sense</w:t>
      </w:r>
      <w:r>
        <w:t xml:space="preserve">.)</w:t>
      </w:r>
    </w:p>
    <w:p>
      <w:pPr>
        <w:pStyle w:val="BodyText"/>
      </w:pPr>
      <w:r>
        <w:rPr>
          <w:b/>
          <w:bCs/>
        </w:rPr>
        <w:t xml:space="preserve">Practice set (written on the board or distributed as a half-sheet).</w:t>
      </w:r>
      <w:r>
        <w:t xml:space="preserve"> </w:t>
      </w:r>
      <w:r>
        <w:t xml:space="preserve">Electronegativity values from the Reference Tables: Na = 0.9, Cl = 3.0, O = 3.5, H = 2.1, Cu = 1.9 (metal).</w:t>
      </w:r>
    </w:p>
    <w:p>
      <w:pPr>
        <w:pStyle w:val="BodyText"/>
      </w:pPr>
      <w:r>
        <w:t xml:space="preserve">For each pair, record element types, EN values, ΔEN (larger − smaller), and predicted bond type using the number line.</w:t>
      </w:r>
    </w:p>
    <w:p>
      <w:pPr>
        <w:pStyle w:val="BodyText"/>
      </w:pPr>
      <w:r>
        <w:rPr>
          <w:b/>
          <w:bCs/>
        </w:rPr>
        <w:t xml:space="preserve">Pair A: Na–Cl (table salt)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Element</w:t>
            </w:r>
          </w:p>
        </w:tc>
        <w:tc>
          <w:tcPr/>
          <w:p>
            <w:pPr>
              <w:pStyle w:val="Compact"/>
            </w:pPr>
            <w:r>
              <w:t xml:space="preserve">Metal/Nonmetal</w:t>
            </w:r>
          </w:p>
        </w:tc>
        <w:tc>
          <w:tcPr/>
          <w:p>
            <w:pPr>
              <w:pStyle w:val="Compact"/>
            </w:pPr>
            <w:r>
              <w:t xml:space="preserve">EN</w:t>
            </w:r>
          </w:p>
        </w:tc>
        <w:tc>
          <w:tcPr/>
          <w:p>
            <w:pPr>
              <w:pStyle w:val="Compact"/>
            </w:pPr>
            <w:r>
              <w:t xml:space="preserve">ΔEN</w:t>
            </w:r>
          </w:p>
        </w:tc>
        <w:tc>
          <w:tcPr/>
          <w:p>
            <w:pPr>
              <w:pStyle w:val="Compact"/>
            </w:pPr>
            <w:r>
              <w:t xml:space="preserve">Predicted bond</w:t>
            </w:r>
          </w:p>
        </w:tc>
      </w:tr>
      <w:tr>
        <w:tc>
          <w:tcPr/>
          <w:p>
            <w:pPr>
              <w:pStyle w:val="Compact"/>
            </w:pPr>
            <w:r>
              <w:t xml:space="preserve">Na</w:t>
            </w:r>
          </w:p>
        </w:tc>
        <w:tc>
          <w:tcPr/>
          <w:p>
            <w:pPr>
              <w:pStyle w:val="Compact"/>
            </w:pPr>
            <w:r>
              <w:t xml:space="preserve">metal</w:t>
            </w:r>
          </w:p>
        </w:tc>
        <w:tc>
          <w:tcPr/>
          <w:p>
            <w:pPr>
              <w:pStyle w:val="Compact"/>
            </w:pPr>
            <w:r>
              <w:t xml:space="preserve">0.9</w:t>
            </w:r>
          </w:p>
        </w:tc>
        <w:tc>
          <w:tcPr/>
          <w:p>
            <w:pPr>
              <w:pStyle w:val="Compact"/>
            </w:pPr>
          </w:p>
        </w:tc>
        <w:tc>
          <w:tcPr/>
          <w:p>
            <w:pPr>
              <w:pStyle w:val="Compact"/>
            </w:pPr>
          </w:p>
        </w:tc>
      </w:tr>
      <w:tr>
        <w:tc>
          <w:tcPr/>
          <w:p>
            <w:pPr>
              <w:pStyle w:val="Compact"/>
            </w:pPr>
            <w:r>
              <w:t xml:space="preserve">Cl</w:t>
            </w:r>
          </w:p>
        </w:tc>
        <w:tc>
          <w:tcPr/>
          <w:p>
            <w:pPr>
              <w:pStyle w:val="Compact"/>
            </w:pPr>
            <w:r>
              <w:t xml:space="preserve">nonmetal</w:t>
            </w:r>
          </w:p>
        </w:tc>
        <w:tc>
          <w:tcPr/>
          <w:p>
            <w:pPr>
              <w:pStyle w:val="Compact"/>
            </w:pPr>
            <w:r>
              <w:t xml:space="preserve">3.0</w:t>
            </w:r>
          </w:p>
        </w:tc>
        <w:tc>
          <w:tcPr/>
          <w:p>
            <w:pPr>
              <w:pStyle w:val="Compact"/>
            </w:pPr>
            <w:r>
              <w:rPr>
                <w:b/>
                <w:bCs/>
              </w:rPr>
              <w:t xml:space="preserve">2.1</w:t>
            </w:r>
          </w:p>
        </w:tc>
        <w:tc>
          <w:tcPr/>
          <w:p>
            <w:pPr>
              <w:pStyle w:val="Compact"/>
            </w:pPr>
            <w:r>
              <w:rPr>
                <w:b/>
                <w:bCs/>
              </w:rPr>
              <w:t xml:space="preserve">ionic</w:t>
            </w:r>
          </w:p>
        </w:tc>
      </w:tr>
    </w:tbl>
    <w:p>
      <w:pPr>
        <w:pStyle w:val="BodyText"/>
      </w:pPr>
      <w:r>
        <w:rPr>
          <w:b/>
          <w:bCs/>
        </w:rPr>
        <w:t xml:space="preserve">Pair B: O–O (in O₂)</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Element</w:t>
            </w:r>
          </w:p>
        </w:tc>
        <w:tc>
          <w:tcPr/>
          <w:p>
            <w:pPr>
              <w:pStyle w:val="Compact"/>
            </w:pPr>
            <w:r>
              <w:t xml:space="preserve">Metal/Nonmetal</w:t>
            </w:r>
          </w:p>
        </w:tc>
        <w:tc>
          <w:tcPr/>
          <w:p>
            <w:pPr>
              <w:pStyle w:val="Compact"/>
            </w:pPr>
            <w:r>
              <w:t xml:space="preserve">EN</w:t>
            </w:r>
          </w:p>
        </w:tc>
        <w:tc>
          <w:tcPr/>
          <w:p>
            <w:pPr>
              <w:pStyle w:val="Compact"/>
            </w:pPr>
            <w:r>
              <w:t xml:space="preserve">ΔEN</w:t>
            </w:r>
          </w:p>
        </w:tc>
        <w:tc>
          <w:tcPr/>
          <w:p>
            <w:pPr>
              <w:pStyle w:val="Compact"/>
            </w:pPr>
            <w:r>
              <w:t xml:space="preserve">Predicted bond</w:t>
            </w:r>
          </w:p>
        </w:tc>
      </w:tr>
      <w:tr>
        <w:tc>
          <w:tcPr/>
          <w:p>
            <w:pPr>
              <w:pStyle w:val="Compact"/>
            </w:pPr>
            <w:r>
              <w:t xml:space="preserve">O</w:t>
            </w:r>
          </w:p>
        </w:tc>
        <w:tc>
          <w:tcPr/>
          <w:p>
            <w:pPr>
              <w:pStyle w:val="Compact"/>
            </w:pPr>
            <w:r>
              <w:t xml:space="preserve">nonmetal</w:t>
            </w:r>
          </w:p>
        </w:tc>
        <w:tc>
          <w:tcPr/>
          <w:p>
            <w:pPr>
              <w:pStyle w:val="Compact"/>
            </w:pPr>
            <w:r>
              <w:t xml:space="preserve">3.5</w:t>
            </w:r>
          </w:p>
        </w:tc>
        <w:tc>
          <w:tcPr/>
          <w:p>
            <w:pPr>
              <w:pStyle w:val="Compact"/>
            </w:pPr>
          </w:p>
        </w:tc>
        <w:tc>
          <w:tcPr/>
          <w:p>
            <w:pPr>
              <w:pStyle w:val="Compact"/>
            </w:pPr>
          </w:p>
        </w:tc>
      </w:tr>
      <w:tr>
        <w:tc>
          <w:tcPr/>
          <w:p>
            <w:pPr>
              <w:pStyle w:val="Compact"/>
            </w:pPr>
            <w:r>
              <w:t xml:space="preserve">O</w:t>
            </w:r>
          </w:p>
        </w:tc>
        <w:tc>
          <w:tcPr/>
          <w:p>
            <w:pPr>
              <w:pStyle w:val="Compact"/>
            </w:pPr>
            <w:r>
              <w:t xml:space="preserve">nonmetal</w:t>
            </w:r>
          </w:p>
        </w:tc>
        <w:tc>
          <w:tcPr/>
          <w:p>
            <w:pPr>
              <w:pStyle w:val="Compact"/>
            </w:pPr>
            <w:r>
              <w:t xml:space="preserve">3.5</w:t>
            </w:r>
          </w:p>
        </w:tc>
        <w:tc>
          <w:tcPr/>
          <w:p>
            <w:pPr>
              <w:pStyle w:val="Compact"/>
            </w:pPr>
            <w:r>
              <w:rPr>
                <w:b/>
                <w:bCs/>
              </w:rPr>
              <w:t xml:space="preserve">0</w:t>
            </w:r>
          </w:p>
        </w:tc>
        <w:tc>
          <w:tcPr/>
          <w:p>
            <w:pPr>
              <w:pStyle w:val="Compact"/>
            </w:pPr>
            <w:r>
              <w:rPr>
                <w:b/>
                <w:bCs/>
              </w:rPr>
              <w:t xml:space="preserve">nonpolar covalent</w:t>
            </w:r>
          </w:p>
        </w:tc>
      </w:tr>
    </w:tbl>
    <w:p>
      <w:pPr>
        <w:pStyle w:val="BodyText"/>
      </w:pPr>
      <w:r>
        <w:rPr>
          <w:b/>
          <w:bCs/>
        </w:rPr>
        <w:t xml:space="preserve">Pair C: H–O (in H₂O)</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Element</w:t>
            </w:r>
          </w:p>
        </w:tc>
        <w:tc>
          <w:tcPr/>
          <w:p>
            <w:pPr>
              <w:pStyle w:val="Compact"/>
            </w:pPr>
            <w:r>
              <w:t xml:space="preserve">Metal/Nonmetal</w:t>
            </w:r>
          </w:p>
        </w:tc>
        <w:tc>
          <w:tcPr/>
          <w:p>
            <w:pPr>
              <w:pStyle w:val="Compact"/>
            </w:pPr>
            <w:r>
              <w:t xml:space="preserve">EN</w:t>
            </w:r>
          </w:p>
        </w:tc>
        <w:tc>
          <w:tcPr/>
          <w:p>
            <w:pPr>
              <w:pStyle w:val="Compact"/>
            </w:pPr>
            <w:r>
              <w:t xml:space="preserve">ΔEN</w:t>
            </w:r>
          </w:p>
        </w:tc>
        <w:tc>
          <w:tcPr/>
          <w:p>
            <w:pPr>
              <w:pStyle w:val="Compact"/>
            </w:pPr>
            <w:r>
              <w:t xml:space="preserve">Predicted bond</w:t>
            </w:r>
          </w:p>
        </w:tc>
      </w:tr>
      <w:tr>
        <w:tc>
          <w:tcPr/>
          <w:p>
            <w:pPr>
              <w:pStyle w:val="Compact"/>
            </w:pPr>
            <w:r>
              <w:t xml:space="preserve">H</w:t>
            </w:r>
          </w:p>
        </w:tc>
        <w:tc>
          <w:tcPr/>
          <w:p>
            <w:pPr>
              <w:pStyle w:val="Compact"/>
            </w:pPr>
            <w:r>
              <w:t xml:space="preserve">nonmetal</w:t>
            </w:r>
          </w:p>
        </w:tc>
        <w:tc>
          <w:tcPr/>
          <w:p>
            <w:pPr>
              <w:pStyle w:val="Compact"/>
            </w:pPr>
            <w:r>
              <w:t xml:space="preserve">2.1</w:t>
            </w:r>
          </w:p>
        </w:tc>
        <w:tc>
          <w:tcPr/>
          <w:p>
            <w:pPr>
              <w:pStyle w:val="Compact"/>
            </w:pPr>
          </w:p>
        </w:tc>
        <w:tc>
          <w:tcPr/>
          <w:p>
            <w:pPr>
              <w:pStyle w:val="Compact"/>
            </w:pPr>
          </w:p>
        </w:tc>
      </w:tr>
      <w:tr>
        <w:tc>
          <w:tcPr/>
          <w:p>
            <w:pPr>
              <w:pStyle w:val="Compact"/>
            </w:pPr>
            <w:r>
              <w:t xml:space="preserve">O</w:t>
            </w:r>
          </w:p>
        </w:tc>
        <w:tc>
          <w:tcPr/>
          <w:p>
            <w:pPr>
              <w:pStyle w:val="Compact"/>
            </w:pPr>
            <w:r>
              <w:t xml:space="preserve">nonmetal</w:t>
            </w:r>
          </w:p>
        </w:tc>
        <w:tc>
          <w:tcPr/>
          <w:p>
            <w:pPr>
              <w:pStyle w:val="Compact"/>
            </w:pPr>
            <w:r>
              <w:t xml:space="preserve">3.5</w:t>
            </w:r>
          </w:p>
        </w:tc>
        <w:tc>
          <w:tcPr/>
          <w:p>
            <w:pPr>
              <w:pStyle w:val="Compact"/>
            </w:pPr>
            <w:r>
              <w:rPr>
                <w:b/>
                <w:bCs/>
              </w:rPr>
              <w:t xml:space="preserve">1.4</w:t>
            </w:r>
          </w:p>
        </w:tc>
        <w:tc>
          <w:tcPr/>
          <w:p>
            <w:pPr>
              <w:pStyle w:val="Compact"/>
            </w:pPr>
            <w:r>
              <w:rPr>
                <w:b/>
                <w:bCs/>
              </w:rPr>
              <w:t xml:space="preserve">polar covalent</w:t>
            </w:r>
          </w:p>
        </w:tc>
      </w:tr>
    </w:tbl>
    <w:p>
      <w:pPr>
        <w:pStyle w:val="BodyText"/>
      </w:pPr>
      <w:r>
        <w:rPr>
          <w:b/>
          <w:bCs/>
        </w:rPr>
        <w:t xml:space="preserve">Pair D: Cu–Cu (in copper metal)</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Element</w:t>
            </w:r>
          </w:p>
        </w:tc>
        <w:tc>
          <w:tcPr/>
          <w:p>
            <w:pPr>
              <w:pStyle w:val="Compact"/>
            </w:pPr>
            <w:r>
              <w:t xml:space="preserve">Metal/Nonmetal</w:t>
            </w:r>
          </w:p>
        </w:tc>
        <w:tc>
          <w:tcPr/>
          <w:p>
            <w:pPr>
              <w:pStyle w:val="Compact"/>
            </w:pPr>
            <w:r>
              <w:t xml:space="preserve">EN</w:t>
            </w:r>
          </w:p>
        </w:tc>
        <w:tc>
          <w:tcPr/>
          <w:p>
            <w:pPr>
              <w:pStyle w:val="Compact"/>
            </w:pPr>
            <w:r>
              <w:t xml:space="preserve">ΔEN</w:t>
            </w:r>
          </w:p>
        </w:tc>
        <w:tc>
          <w:tcPr/>
          <w:p>
            <w:pPr>
              <w:pStyle w:val="Compact"/>
            </w:pPr>
            <w:r>
              <w:t xml:space="preserve">Predicted bond</w:t>
            </w:r>
          </w:p>
        </w:tc>
      </w:tr>
      <w:tr>
        <w:tc>
          <w:tcPr/>
          <w:p>
            <w:pPr>
              <w:pStyle w:val="Compact"/>
            </w:pPr>
            <w:r>
              <w:t xml:space="preserve">Cu</w:t>
            </w:r>
          </w:p>
        </w:tc>
        <w:tc>
          <w:tcPr/>
          <w:p>
            <w:pPr>
              <w:pStyle w:val="Compact"/>
            </w:pPr>
            <w:r>
              <w:t xml:space="preserve">metal</w:t>
            </w:r>
          </w:p>
        </w:tc>
        <w:tc>
          <w:tcPr/>
          <w:p>
            <w:pPr>
              <w:pStyle w:val="Compact"/>
            </w:pPr>
            <w:r>
              <w:t xml:space="preserve">1.9</w:t>
            </w:r>
          </w:p>
        </w:tc>
        <w:tc>
          <w:tcPr/>
          <w:p>
            <w:pPr>
              <w:pStyle w:val="Compact"/>
            </w:pPr>
          </w:p>
        </w:tc>
        <w:tc>
          <w:tcPr/>
          <w:p>
            <w:pPr>
              <w:pStyle w:val="Compact"/>
            </w:pPr>
          </w:p>
        </w:tc>
      </w:tr>
      <w:tr>
        <w:tc>
          <w:tcPr/>
          <w:p>
            <w:pPr>
              <w:pStyle w:val="Compact"/>
            </w:pPr>
            <w:r>
              <w:t xml:space="preserve">Cu</w:t>
            </w:r>
          </w:p>
        </w:tc>
        <w:tc>
          <w:tcPr/>
          <w:p>
            <w:pPr>
              <w:pStyle w:val="Compact"/>
            </w:pPr>
            <w:r>
              <w:t xml:space="preserve">metal</w:t>
            </w:r>
          </w:p>
        </w:tc>
        <w:tc>
          <w:tcPr/>
          <w:p>
            <w:pPr>
              <w:pStyle w:val="Compact"/>
            </w:pPr>
            <w:r>
              <w:t xml:space="preserve">1.9</w:t>
            </w:r>
          </w:p>
        </w:tc>
        <w:tc>
          <w:tcPr/>
          <w:p>
            <w:pPr>
              <w:pStyle w:val="Compact"/>
            </w:pPr>
            <w:r>
              <w:rPr>
                <w:b/>
                <w:bCs/>
              </w:rPr>
              <w:t xml:space="preserve">0 (but both are metals)</w:t>
            </w:r>
          </w:p>
        </w:tc>
        <w:tc>
          <w:tcPr/>
          <w:p>
            <w:pPr>
              <w:pStyle w:val="Compact"/>
            </w:pPr>
            <w:r>
              <w:rPr>
                <w:b/>
                <w:bCs/>
              </w:rPr>
              <w:t xml:space="preserve">metallic</w:t>
            </w:r>
          </w:p>
        </w:tc>
      </w:tr>
    </w:tbl>
    <w:p>
      <w:pPr>
        <w:pStyle w:val="BodyText"/>
      </w:pPr>
      <w:r>
        <w:rPr>
          <w:b/>
          <w:bCs/>
        </w:rPr>
        <w:t xml:space="preserve">Teacher facilitation prompts (circulate):</w:t>
      </w:r>
    </w:p>
    <w:p>
      <w:pPr>
        <w:pStyle w:val="BlockText"/>
      </w:pPr>
      <w:r>
        <w:t xml:space="preserve">“For Na–Cl, the difference is 2.1. Find 2.1 on the number line — which band? Orange, ionic. And it makes sense: a metal and a nonmetal, the metal practically gives the electron away.”</w:t>
      </w:r>
    </w:p>
    <w:p>
      <w:pPr>
        <w:pStyle w:val="BlockText"/>
      </w:pPr>
      <w:r>
        <w:t xml:space="preserve">“Cu–Cu has ΔEN = 0, just like O₂. So why isn’t it nonpolar covalent? Look at the element types — both are</w:t>
      </w:r>
      <w:r>
        <w:t xml:space="preserve"> </w:t>
      </w:r>
      <w:r>
        <w:rPr>
          <w:i/>
          <w:iCs/>
        </w:rPr>
        <w:t xml:space="preserve">metals</w:t>
      </w:r>
      <w:r>
        <w:t xml:space="preserve">. Two metals don’t share a pair, they pool all their electrons into a sea. ΔEN of 0 between two metals means metallic, not covalent. Element type breaks the tie.”</w:t>
      </w:r>
    </w:p>
    <w:p>
      <w:pPr>
        <w:pStyle w:val="BlockText"/>
      </w:pPr>
      <w:r>
        <w:t xml:space="preserve">“For H–O, you get 1.4 — that’s in the green polar covalent band. They share, but oxygen pulls harder, so the sharing is lopsided. That lopsided sharing is exactly why water is slightly charged on its ends — remember that for the salt-vs-oil question.”</w:t>
      </w:r>
    </w:p>
    <w:p>
      <w:pPr>
        <w:pStyle w:val="FirstParagraph"/>
      </w:pPr>
      <w:r>
        <w:rPr>
          <w:b/>
          <w:bCs/>
        </w:rPr>
        <w:t xml:space="preserve">Anticipated student responses:</w:t>
      </w:r>
    </w:p>
    <w:p>
      <w:pPr>
        <w:pStyle w:val="Compact"/>
        <w:numPr>
          <w:ilvl w:val="0"/>
          <w:numId w:val="1008"/>
        </w:numPr>
      </w:pPr>
      <w:r>
        <w:t xml:space="preserve">On Cu–Cu:</w:t>
      </w:r>
      <w:r>
        <w:t xml:space="preserve"> </w:t>
      </w:r>
      <w:r>
        <w:t xml:space="preserve">“ΔEN is 0 so it’s nonpolar covalent like O₂.”</w:t>
      </w:r>
      <w:r>
        <w:t xml:space="preserve"> </w:t>
      </w:r>
      <w:r>
        <w:t xml:space="preserve">— common and reasonable error; redirect to element type: O₂ is two nonmetals (covalent), Cu is two metals (metallic). The number alone isn’t enough — you also check what kinds of elements.</w:t>
      </w:r>
    </w:p>
    <w:p>
      <w:pPr>
        <w:pStyle w:val="Compact"/>
        <w:numPr>
          <w:ilvl w:val="0"/>
          <w:numId w:val="1008"/>
        </w:numPr>
      </w:pPr>
      <w:r>
        <w:t xml:space="preserve">On H–O:</w:t>
      </w:r>
      <w:r>
        <w:t xml:space="preserve"> </w:t>
      </w:r>
      <w:r>
        <w:t xml:space="preserve">“I got 1.4 — is that ionic?”</w:t>
      </w:r>
      <w:r>
        <w:t xml:space="preserve"> </w:t>
      </w:r>
      <w:r>
        <w:t xml:space="preserve">— check the number line: 1.4 is below the 1.7 ionic cutoff, so it’s polar covalent, not ionic. Close to the line, but still sharing.</w:t>
      </w:r>
    </w:p>
    <w:p>
      <w:pPr>
        <w:pStyle w:val="Compact"/>
        <w:numPr>
          <w:ilvl w:val="0"/>
          <w:numId w:val="1008"/>
        </w:numPr>
      </w:pPr>
      <w:r>
        <w:t xml:space="preserve">“What if ΔEN lands right on 1.7?”</w:t>
      </w:r>
      <w:r>
        <w:t xml:space="preserve"> </w:t>
      </w:r>
      <w:r>
        <w:t xml:space="preserve">— borderline cases exist; for this course, ≥ 1.7 with a metal + nonmetal is treated as ionic. The element types confirm the call.</w:t>
      </w:r>
    </w:p>
    <w:bookmarkEnd w:id="28"/>
    <w:bookmarkStart w:id="29" w:name="min-reconnect-surface-the-method"/>
    <w:p>
      <w:pPr>
        <w:pStyle w:val="Heading3"/>
      </w:pPr>
      <w:r>
        <w:t xml:space="preserve">28–30 min · Reconnect + surface the method</w:t>
      </w:r>
    </w:p>
    <w:p>
      <w:pPr>
        <w:pStyle w:val="FirstParagraph"/>
      </w:pPr>
      <w:r>
        <w:t xml:space="preserve">Bring groups back together. Ask one group to put the Cu–Cu row on the board next to the O–O row. Ask the class:</w:t>
      </w:r>
    </w:p>
    <w:p>
      <w:pPr>
        <w:pStyle w:val="BlockText"/>
      </w:pPr>
      <w:r>
        <w:t xml:space="preserve">“Both have ΔEN = 0. But one is metallic and one is covalent. What second piece of information did you use to tell them apart?”</w:t>
      </w:r>
    </w:p>
    <w:p>
      <w:pPr>
        <w:pStyle w:val="FirstParagraph"/>
      </w:pPr>
      <w:r>
        <w:t xml:space="preserve">Surface the key idea: predicting a bond takes</w:t>
      </w:r>
      <w:r>
        <w:t xml:space="preserve"> </w:t>
      </w:r>
      <w:r>
        <w:rPr>
          <w:b/>
          <w:bCs/>
        </w:rPr>
        <w:t xml:space="preserve">two</w:t>
      </w:r>
      <w:r>
        <w:t xml:space="preserve"> </w:t>
      </w:r>
      <w:r>
        <w:t xml:space="preserve">clues working together — (1) the</w:t>
      </w:r>
      <w:r>
        <w:t xml:space="preserve"> </w:t>
      </w:r>
      <w:r>
        <w:rPr>
          <w:b/>
          <w:bCs/>
        </w:rPr>
        <w:t xml:space="preserve">types of elements</w:t>
      </w:r>
      <w:r>
        <w:t xml:space="preserve"> </w:t>
      </w:r>
      <w:r>
        <w:t xml:space="preserve">(metal + nonmetal → transfer/ionic; two nonmetals → share/covalent; two metals → electron sea/metallic) and (2) the</w:t>
      </w:r>
      <w:r>
        <w:t xml:space="preserve"> </w:t>
      </w:r>
      <w:r>
        <w:rPr>
          <w:b/>
          <w:bCs/>
        </w:rPr>
        <w:t xml:space="preserve">electronegativity difference</w:t>
      </w:r>
      <w:r>
        <w:t xml:space="preserve">, which tells you, among sharing pairs, how even the sharing is (and confirms that a metal + nonmetal pair with a large gap really does transfer). The number of bonds an atom forms is set by its valence electrons (how many it needs to share, gain, or give up to reach a full outer shell).</w:t>
      </w:r>
    </w:p>
    <w:p>
      <w:r>
        <w:pict>
          <v:rect style="width:0;height:1.5pt" o:hralign="center" o:hrstd="t" o:hr="t"/>
        </w:pict>
      </w:r>
    </w:p>
    <w:bookmarkEnd w:id="29"/>
    <w:bookmarkEnd w:id="30"/>
    <w:bookmarkStart w:id="33" w:name="phase-3-explain-30-36-min"/>
    <w:p>
      <w:pPr>
        <w:pStyle w:val="Heading2"/>
      </w:pPr>
      <w:r>
        <w:t xml:space="preserve">Phase 3 · Explain</w:t>
      </w:r>
      <w:r>
        <w:t xml:space="preserve"> </w:t>
      </w:r>
      <w:r>
        <w:rPr>
          <w:i/>
          <w:iCs/>
        </w:rPr>
        <w:t xml:space="preserve">(30 – 36 min)</w:t>
      </w:r>
    </w:p>
    <w:bookmarkStart w:id="31" w:name="min-turn-and-talk-2-class-consensus"/>
    <w:p>
      <w:pPr>
        <w:pStyle w:val="Heading3"/>
      </w:pPr>
      <w:r>
        <w:t xml:space="preserve">30–33 min · Turn-and-Talk #2 + class consensus</w:t>
      </w:r>
    </w:p>
    <w:p>
      <w:pPr>
        <w:pStyle w:val="BlockText"/>
      </w:pPr>
      <w:r>
        <w:t xml:space="preserve">“Look at your completed table. NaCl had ΔEN = 2.1 and is ionic; H₂O had ΔEN = 1.4 and is polar covalent; O₂ had ΔEN = 0 and is nonpolar covalent. Turn to your partner: as the electronegativity difference gets bigger, what happens to the way the two atoms handle their electrons? Describe the pattern in one sentence.”</w:t>
      </w:r>
    </w:p>
    <w:p>
      <w:pPr>
        <w:pStyle w:val="FirstParagraph"/>
      </w:pPr>
      <w:r>
        <w:t xml:space="preserve">Target consensus: as ΔEN increases, the sharing becomes more and more lopsided — from perfectly even (ΔEN = 0, nonpolar covalent), to uneven (polar covalent), to one atom taking the electrons completely (large ΔEN, ionic). Bond type is a smooth pattern set by the size of the difference, plus the element types.</w:t>
      </w:r>
    </w:p>
    <w:p>
      <w:pPr>
        <w:pStyle w:val="BlockText"/>
      </w:pPr>
      <w:r>
        <w:t xml:space="preserve">“If I told you fluorine has the highest electronegativity (4.0), what would the bond between a metal like magnesium (1.2) and fluorine be? Predict the ΔEN and the bond type.”</w:t>
      </w:r>
    </w:p>
    <w:p>
      <w:pPr>
        <w:pStyle w:val="FirstParagraph"/>
      </w:pPr>
      <w:r>
        <w:t xml:space="preserve">Target: ΔEN = 4.0 − 1.2 = 2.8 → well into the ionic band → ionic. The method generalizes to any pair — that’s the Patterns CCC.</w:t>
      </w:r>
    </w:p>
    <w:bookmarkEnd w:id="31"/>
    <w:bookmarkStart w:id="32" w:name="Xb1d75326a547001c764c7e65722fa2c14b6c7a6"/>
    <w:p>
      <w:pPr>
        <w:pStyle w:val="Heading3"/>
      </w:pPr>
      <w:r>
        <w:t xml:space="preserve">33–36 min · Vocabulary introduction (exactly 3 terms)</w:t>
      </w:r>
    </w:p>
    <w:p>
      <w:pPr>
        <w:pStyle w:val="FirstParagraph"/>
      </w:pPr>
      <w:r>
        <w:rPr>
          <w:b/>
          <w:bCs/>
        </w:rPr>
        <w:t xml:space="preserve">Sample teacher language:</w:t>
      </w:r>
    </w:p>
    <w:p>
      <w:pPr>
        <w:pStyle w:val="BlockText"/>
      </w:pPr>
      <w:r>
        <w:t xml:space="preserve">“Let’s name what we’ve been using all period. The number that measures how strongly an atom pulls on shared electrons is its</w:t>
      </w:r>
      <w:r>
        <w:t xml:space="preserve"> </w:t>
      </w:r>
      <w:r>
        <w:rPr>
          <w:b/>
          <w:bCs/>
        </w:rPr>
        <w:t xml:space="preserve">electronegativity</w:t>
      </w:r>
      <w:r>
        <w:t xml:space="preserve">. We’ve been subtracting two of them to get the</w:t>
      </w:r>
      <w:r>
        <w:t xml:space="preserve"> </w:t>
      </w:r>
      <w:r>
        <w:rPr>
          <w:b/>
          <w:bCs/>
        </w:rPr>
        <w:t xml:space="preserve">electronegativity difference</w:t>
      </w:r>
      <w:r>
        <w:t xml:space="preserve">, ΔEN. And the rule we built is this: a large ΔEN means electrons</w:t>
      </w:r>
      <w:r>
        <w:t xml:space="preserve"> </w:t>
      </w:r>
      <w:r>
        <w:rPr>
          <w:i/>
          <w:iCs/>
        </w:rPr>
        <w:t xml:space="preserve">transfer</w:t>
      </w:r>
      <w:r>
        <w:t xml:space="preserve"> </w:t>
      </w:r>
      <w:r>
        <w:t xml:space="preserve">— that’s an</w:t>
      </w:r>
      <w:r>
        <w:t xml:space="preserve"> </w:t>
      </w:r>
      <w:r>
        <w:rPr>
          <w:b/>
          <w:bCs/>
        </w:rPr>
        <w:t xml:space="preserve">ionic bond</w:t>
      </w:r>
      <w:r>
        <w:t xml:space="preserve">, formed between a metal and a nonmetal; a small ΔEN between two nonmetals means electrons are</w:t>
      </w:r>
      <w:r>
        <w:t xml:space="preserve"> </w:t>
      </w:r>
      <w:r>
        <w:rPr>
          <w:i/>
          <w:iCs/>
        </w:rPr>
        <w:t xml:space="preserve">shared</w:t>
      </w:r>
      <w:r>
        <w:t xml:space="preserve"> </w:t>
      </w:r>
      <w:r>
        <w:t xml:space="preserve">— that’s a</w:t>
      </w:r>
      <w:r>
        <w:t xml:space="preserve"> </w:t>
      </w:r>
      <w:r>
        <w:rPr>
          <w:b/>
          <w:bCs/>
        </w:rPr>
        <w:t xml:space="preserve">covalent bond</w:t>
      </w:r>
      <w:r>
        <w:t xml:space="preserve">; and two metals pooling their electrons into a shared sea form a</w:t>
      </w:r>
      <w:r>
        <w:t xml:space="preserve"> </w:t>
      </w:r>
      <w:r>
        <w:rPr>
          <w:b/>
          <w:bCs/>
        </w:rPr>
        <w:t xml:space="preserve">metallic bond</w:t>
      </w:r>
      <w:r>
        <w:t xml:space="preserve">.”</w:t>
      </w:r>
    </w:p>
    <w:p>
      <w:pPr>
        <w:pStyle w:val="BlockText"/>
      </w:pPr>
      <w:r>
        <w:t xml:space="preserve">“Here is the Hochman appositive move that will help you write and remember the key definition. An appositive is a phrase set off by dashes that renames or explains the noun next to it. Say this with me:</w:t>
      </w:r>
    </w:p>
    <w:p>
      <w:pPr>
        <w:pStyle w:val="BlockText"/>
      </w:pPr>
      <w:r>
        <w:rPr>
          <w:i/>
          <w:iCs/>
        </w:rPr>
        <w:t xml:space="preserve">Electronegativity — a measure of how strongly an atom pulls on shared electrons — determines whether a bond is ionic or covalent.</w:t>
      </w:r>
    </w:p>
    <w:p>
      <w:pPr>
        <w:pStyle w:val="BlockText"/>
      </w:pPr>
      <w:r>
        <w:t xml:space="preserve">The phrase between the dashes defines</w:t>
      </w:r>
      <w:r>
        <w:t xml:space="preserve"> </w:t>
      </w:r>
      <w:r>
        <w:t xml:space="preserve">‘electronegativity’</w:t>
      </w:r>
      <w:r>
        <w:t xml:space="preserve"> </w:t>
      </w:r>
      <w:r>
        <w:t xml:space="preserve">in the same sentence. You’ll use this structure on the Exit Ticket and in your notes.”</w:t>
      </w:r>
    </w:p>
    <w:p>
      <w:pPr>
        <w:pStyle w:val="BlockText"/>
      </w:pPr>
      <w:r>
        <w:t xml:space="preserve">“Our exactly-three terms for today:</w:t>
      </w:r>
      <w:r>
        <w:t xml:space="preserve"> </w:t>
      </w:r>
      <w:r>
        <w:rPr>
          <w:b/>
          <w:bCs/>
        </w:rPr>
        <w:t xml:space="preserve">electronegativity</w:t>
      </w:r>
      <w:r>
        <w:t xml:space="preserve">,</w:t>
      </w:r>
      <w:r>
        <w:t xml:space="preserve"> </w:t>
      </w:r>
      <w:r>
        <w:rPr>
          <w:b/>
          <w:bCs/>
        </w:rPr>
        <w:t xml:space="preserve">ionic bond</w:t>
      </w:r>
      <w:r>
        <w:t xml:space="preserve">, and</w:t>
      </w:r>
      <w:r>
        <w:t xml:space="preserve"> </w:t>
      </w:r>
      <w:r>
        <w:rPr>
          <w:b/>
          <w:bCs/>
        </w:rPr>
        <w:t xml:space="preserve">covalent bond</w:t>
      </w:r>
      <w:r>
        <w:t xml:space="preserve">. You already met</w:t>
      </w:r>
      <w:r>
        <w:t xml:space="preserve"> </w:t>
      </w:r>
      <w:r>
        <w:rPr>
          <w:i/>
          <w:iCs/>
        </w:rPr>
        <w:t xml:space="preserve">metallic bond</w:t>
      </w:r>
      <w:r>
        <w:t xml:space="preserve"> </w:t>
      </w:r>
      <w:r>
        <w:t xml:space="preserve">in the particle model — keep using it, but these three are the ones we are defining formally.”</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1009"/>
        </w:numPr>
      </w:pPr>
      <w:r>
        <w:t xml:space="preserve">“If a bond has a ΔEN of 1.4, is it ionic or covalent?”</w:t>
      </w:r>
      <w:r>
        <w:t xml:space="preserve"> </w:t>
      </w:r>
      <w:r>
        <w:t xml:space="preserve">—</w:t>
      </w:r>
      <w:r>
        <w:t xml:space="preserve"> </w:t>
      </w:r>
      <w:r>
        <w:rPr>
          <w:i/>
          <w:iCs/>
        </w:rPr>
        <w:t xml:space="preserve">Expected response:</w:t>
      </w:r>
      <w:r>
        <w:t xml:space="preserve"> </w:t>
      </w:r>
      <w:r>
        <w:t xml:space="preserve">covalent (polar covalent) — 1.4 is below the 1.7 ionic cutoff, so the atoms still share, just unequally.</w:t>
      </w:r>
    </w:p>
    <w:p>
      <w:pPr>
        <w:pStyle w:val="Compact"/>
        <w:numPr>
          <w:ilvl w:val="0"/>
          <w:numId w:val="1009"/>
        </w:numPr>
      </w:pPr>
      <w:r>
        <w:t xml:space="preserve">“Where do you find the electronegativity values to calculate ΔEN?”</w:t>
      </w:r>
      <w:r>
        <w:t xml:space="preserve"> </w:t>
      </w:r>
      <w:r>
        <w:t xml:space="preserve">—</w:t>
      </w:r>
      <w:r>
        <w:t xml:space="preserve"> </w:t>
      </w:r>
      <w:r>
        <w:rPr>
          <w:i/>
          <w:iCs/>
        </w:rPr>
        <w:t xml:space="preserve">Expected response:</w:t>
      </w:r>
      <w:r>
        <w:t xml:space="preserve"> </w:t>
      </w:r>
      <w:r>
        <w:t xml:space="preserve">the Periodic Table / Reference Tables — each element’s electronegativity is listed; subtract the smaller from the larger.</w:t>
      </w:r>
    </w:p>
    <w:p>
      <w:pPr>
        <w:pStyle w:val="Compact"/>
        <w:numPr>
          <w:ilvl w:val="0"/>
          <w:numId w:val="1009"/>
        </w:numPr>
      </w:pPr>
      <w:r>
        <w:t xml:space="preserve">“How does a large ΔEN connect to forming an ionic compound — the reaction type from the standard?”</w:t>
      </w:r>
      <w:r>
        <w:t xml:space="preserve"> </w:t>
      </w:r>
      <w:r>
        <w:t xml:space="preserve">—</w:t>
      </w:r>
      <w:r>
        <w:t xml:space="preserve"> </w:t>
      </w:r>
      <w:r>
        <w:rPr>
          <w:i/>
          <w:iCs/>
        </w:rPr>
        <w:t xml:space="preserve">Expected response:</w:t>
      </w:r>
      <w:r>
        <w:t xml:space="preserve"> </w:t>
      </w:r>
      <w:r>
        <w:t xml:space="preserve">a large ΔEN means the metal gives up its electron and the nonmetal takes it, producing oppositely charged ions that attract — the formation of an ionic compound.</w:t>
      </w:r>
    </w:p>
    <w:p>
      <w:r>
        <w:pict>
          <v:rect style="width:0;height:1.5pt" o:hralign="center" o:hrstd="t" o:hr="t"/>
        </w:pict>
      </w:r>
    </w:p>
    <w:bookmarkEnd w:id="32"/>
    <w:bookmarkEnd w:id="33"/>
    <w:bookmarkStart w:id="36" w:name="phase-4-elaborate-36-40-min"/>
    <w:p>
      <w:pPr>
        <w:pStyle w:val="Heading2"/>
      </w:pPr>
      <w:r>
        <w:t xml:space="preserve">Phase 4 · Elaborate</w:t>
      </w:r>
      <w:r>
        <w:t xml:space="preserve"> </w:t>
      </w:r>
      <w:r>
        <w:rPr>
          <w:i/>
          <w:iCs/>
        </w:rPr>
        <w:t xml:space="preserve">(36 – 40 min)</w:t>
      </w:r>
    </w:p>
    <w:bookmarkStart w:id="34" w:name="X6ebef350f3591cea26d17605b6358cf22dd1110"/>
    <w:p>
      <w:pPr>
        <w:pStyle w:val="Heading3"/>
      </w:pPr>
      <w:r>
        <w:t xml:space="preserve">36–39 min · Revise the model + Appositive + Because/But/So expansion</w:t>
      </w:r>
    </w:p>
    <w:p>
      <w:pPr>
        <w:pStyle w:val="FirstParagraph"/>
      </w:pPr>
      <w:r>
        <w:t xml:space="preserve">Students return to their Initial Model (the NaCl and O₂ ΔEN calculations). They annotate: label each ΔEN with its band on the number line, label the bond type, and write an appositive sentence defining electronegativity.</w:t>
      </w:r>
    </w:p>
    <w:p>
      <w:pPr>
        <w:pStyle w:val="BodyText"/>
      </w:pPr>
      <w:r>
        <w:rPr>
          <w:b/>
          <w:bCs/>
        </w:rPr>
        <w:t xml:space="preserve">Appositive sentence (model on board):</w:t>
      </w:r>
    </w:p>
    <w:p>
      <w:pPr>
        <w:pStyle w:val="BlockText"/>
      </w:pPr>
      <w:r>
        <w:rPr>
          <w:i/>
          <w:iCs/>
        </w:rPr>
        <w:t xml:space="preserve">“Electronegativity — a measure of how strongly an atom pulls on shared electrons — determines whether a bond is ionic or covalent.”</w:t>
      </w:r>
    </w:p>
    <w:p>
      <w:pPr>
        <w:pStyle w:val="FirstParagraph"/>
      </w:pPr>
      <w:r>
        <w:t xml:space="preserve">Ask students to write a parallel appositive for a specific bond:</w:t>
      </w:r>
    </w:p>
    <w:p>
      <w:pPr>
        <w:pStyle w:val="BlockText"/>
      </w:pPr>
      <w:r>
        <w:rPr>
          <w:i/>
          <w:iCs/>
        </w:rPr>
        <w:t xml:space="preserve">“The bond in sodium chloride — an ionic bond formed because ΔEN = ___ — holds the salt together until water pulls the ions apart.”</w:t>
      </w:r>
    </w:p>
    <w:p>
      <w:pPr>
        <w:pStyle w:val="FirstParagraph"/>
      </w:pPr>
      <w:r>
        <w:t xml:space="preserve">Then run a</w:t>
      </w:r>
      <w:r>
        <w:t xml:space="preserve"> </w:t>
      </w:r>
      <w:r>
        <w:rPr>
          <w:b/>
          <w:bCs/>
        </w:rPr>
        <w:t xml:space="preserve">Because / But / So</w:t>
      </w:r>
      <w:r>
        <w:t xml:space="preserve"> </w:t>
      </w:r>
      <w:r>
        <w:t xml:space="preserve">sentence about the phenomenon. Starter on the board:</w:t>
      </w:r>
    </w:p>
    <w:p>
      <w:pPr>
        <w:pStyle w:val="BlockText"/>
      </w:pPr>
      <w:r>
        <w:rPr>
          <w:i/>
          <w:iCs/>
        </w:rPr>
        <w:t xml:space="preserve">“Salt dissolves in water but oil does not.”</w:t>
      </w:r>
    </w:p>
    <w:p>
      <w:pPr>
        <w:pStyle w:val="FirstParagraph"/>
      </w:pPr>
      <w:r>
        <w:t xml:space="preserve">Model one aloud:</w:t>
      </w:r>
    </w:p>
    <w:p>
      <w:pPr>
        <w:pStyle w:val="BlockText"/>
      </w:pPr>
      <w:r>
        <w:t xml:space="preserve">“Salt dissolves in water</w:t>
      </w:r>
      <w:r>
        <w:t xml:space="preserve"> </w:t>
      </w:r>
      <w:r>
        <w:rPr>
          <w:b/>
          <w:bCs/>
        </w:rPr>
        <w:t xml:space="preserve">because</w:t>
      </w:r>
      <w:r>
        <w:t xml:space="preserve"> </w:t>
      </w:r>
      <w:r>
        <w:t xml:space="preserve">salt is held together by ionic bonds (ΔEN = 2.1) that make charged Na⁺ and Cl⁻ ions, and water — itself polar because of its lopsided polar covalent O–H bonds (ΔEN = 1.4) — is attracted to those charges and pulls the ions apart,</w:t>
      </w:r>
      <w:r>
        <w:t xml:space="preserve"> </w:t>
      </w:r>
      <w:r>
        <w:rPr>
          <w:b/>
          <w:bCs/>
        </w:rPr>
        <w:t xml:space="preserve">but</w:t>
      </w:r>
      <w:r>
        <w:t xml:space="preserve"> </w:t>
      </w:r>
      <w:r>
        <w:t xml:space="preserve">oil is built from nonpolar covalent C–H bonds (ΔEN = 0.4) with almost no charge for water to grab,</w:t>
      </w:r>
      <w:r>
        <w:t xml:space="preserve"> </w:t>
      </w:r>
      <w:r>
        <w:rPr>
          <w:b/>
          <w:bCs/>
        </w:rPr>
        <w:t xml:space="preserve">so</w:t>
      </w:r>
      <w:r>
        <w:t xml:space="preserve"> </w:t>
      </w:r>
      <w:r>
        <w:t xml:space="preserve">water dissolves the ionic salt while the nonpolar oil stays in its own layer.”</w:t>
      </w:r>
    </w:p>
    <w:p>
      <w:pPr>
        <w:pStyle w:val="FirstParagraph"/>
      </w:pPr>
      <w:r>
        <w:t xml:space="preserve">Then have students write their own B/B/S using one of these starters:</w:t>
      </w:r>
    </w:p>
    <w:p>
      <w:pPr>
        <w:pStyle w:val="Compact"/>
        <w:numPr>
          <w:ilvl w:val="0"/>
          <w:numId w:val="1010"/>
        </w:numPr>
      </w:pPr>
      <w:r>
        <w:rPr>
          <w:i/>
          <w:iCs/>
        </w:rPr>
        <w:t xml:space="preserve">“A student predicts the bond in Cu–Cu is covalent because ΔEN = 0…”</w:t>
      </w:r>
      <w:r>
        <w:t xml:space="preserve"> </w:t>
      </w:r>
      <w:r>
        <w:t xml:space="preserve">(hint: both are metals, so it is metallic, not covalent)</w:t>
      </w:r>
    </w:p>
    <w:p>
      <w:pPr>
        <w:pStyle w:val="Compact"/>
        <w:numPr>
          <w:ilvl w:val="0"/>
          <w:numId w:val="1010"/>
        </w:numPr>
      </w:pPr>
      <w:r>
        <w:rPr>
          <w:i/>
          <w:iCs/>
        </w:rPr>
        <w:t xml:space="preserve">“Water (H₂O) is polar but oxygen gas (O₂) is nonpolar…”</w:t>
      </w:r>
      <w:r>
        <w:t xml:space="preserve"> </w:t>
      </w:r>
      <w:r>
        <w:t xml:space="preserve">(hint: compare ΔEN = 1.4 vs. 0)</w:t>
      </w:r>
    </w:p>
    <w:p>
      <w:pPr>
        <w:pStyle w:val="FirstParagraph"/>
      </w:pPr>
      <w:r>
        <w:rPr>
          <w:b/>
          <w:bCs/>
        </w:rPr>
        <w:t xml:space="preserve">Anticipated student responses:</w:t>
      </w:r>
    </w:p>
    <w:p>
      <w:pPr>
        <w:pStyle w:val="Compact"/>
        <w:numPr>
          <w:ilvl w:val="0"/>
          <w:numId w:val="1011"/>
        </w:numPr>
      </w:pPr>
      <w:r>
        <w:t xml:space="preserve">“Because Cu and Cu are both metals.”</w:t>
      </w:r>
      <w:r>
        <w:t xml:space="preserve"> </w:t>
      </w:r>
      <w:r>
        <w:t xml:space="preserve">— good start; push for the full frame:</w:t>
      </w:r>
      <w:r>
        <w:t xml:space="preserve"> </w:t>
      </w:r>
      <w:r>
        <w:t xml:space="preserve">“because both Cu atoms are metals, they pool their electrons into a shared sea rather than sharing a single pair,</w:t>
      </w:r>
      <w:r>
        <w:t xml:space="preserve"> </w:t>
      </w:r>
      <w:r>
        <w:rPr>
          <w:i/>
          <w:iCs/>
        </w:rPr>
        <w:t xml:space="preserve">but</w:t>
      </w:r>
      <w:r>
        <w:t xml:space="preserve"> </w:t>
      </w:r>
      <w:r>
        <w:t xml:space="preserve">ΔEN = 0 looks like nonpolar covalent,</w:t>
      </w:r>
      <w:r>
        <w:t xml:space="preserve"> </w:t>
      </w:r>
      <w:r>
        <w:rPr>
          <w:i/>
          <w:iCs/>
        </w:rPr>
        <w:t xml:space="preserve">so</w:t>
      </w:r>
      <w:r>
        <w:t xml:space="preserve"> </w:t>
      </w:r>
      <w:r>
        <w:t xml:space="preserve">the element type — two metals — tells us the bond is metallic.”</w:t>
      </w:r>
    </w:p>
    <w:p>
      <w:pPr>
        <w:pStyle w:val="Compact"/>
        <w:numPr>
          <w:ilvl w:val="0"/>
          <w:numId w:val="1011"/>
        </w:numPr>
      </w:pPr>
      <w:r>
        <w:t xml:space="preserve">“Because water’s O pulls harder than H.”</w:t>
      </w:r>
      <w:r>
        <w:t xml:space="preserve"> </w:t>
      </w:r>
      <w:r>
        <w:t xml:space="preserve">— excellent; push for the So:</w:t>
      </w:r>
      <w:r>
        <w:t xml:space="preserve"> </w:t>
      </w:r>
      <w:r>
        <w:t xml:space="preserve">“so the H₂O bond is polar covalent (ΔEN = 1.4) and the molecule ends up charged on its ends, while O₂ shares perfectly evenly (ΔEN = 0) and stays nonpolar.”</w:t>
      </w:r>
    </w:p>
    <w:bookmarkEnd w:id="34"/>
    <w:bookmarkStart w:id="35" w:name="min-return-to-the-phenomenon"/>
    <w:p>
      <w:pPr>
        <w:pStyle w:val="Heading3"/>
      </w:pPr>
      <w:r>
        <w:t xml:space="preserve">39–40 min · Return to the phenomenon</w:t>
      </w:r>
    </w:p>
    <w:p>
      <w:pPr>
        <w:pStyle w:val="BlockText"/>
      </w:pPr>
      <w:r>
        <w:t xml:space="preserve">“Return to our two glasses. Salt vanished; oil refused. Now you have the rule. Salt is Na (metal) + Cl (nonmetal), ΔEN = 2.1 — what bond? And the C–H bonds in oil have ΔEN = 0.4 — what bond? Use the bond types to explain, in one sentence, why water treats them so differently.”</w:t>
      </w:r>
    </w:p>
    <w:p>
      <w:pPr>
        <w:pStyle w:val="FirstParagraph"/>
      </w:pPr>
      <w:r>
        <w:t xml:space="preserve">Target:</w:t>
      </w:r>
      <w:r>
        <w:t xml:space="preserve"> </w:t>
      </w:r>
      <w:r>
        <w:t xml:space="preserve">“Salt’s ionic bonds make charged ions that polar water can surround and pull apart, but oil’s nonpolar covalent bonds have no charge for water to grab, so the salt dissolves and the oil does not.”</w:t>
      </w:r>
    </w:p>
    <w:p>
      <w:pPr>
        <w:pStyle w:val="BlockText"/>
      </w:pPr>
      <w:r>
        <w:t xml:space="preserve">“That difference in the glass isn’t about weight or grease — it’s a direct readout of the bond type. Predict the bond, and you’ve predicted the behavior.”</w:t>
      </w:r>
    </w:p>
    <w:p>
      <w:r>
        <w:pict>
          <v:rect style="width:0;height:1.5pt" o:hralign="center" o:hrstd="t" o:hr="t"/>
        </w:pict>
      </w:r>
    </w:p>
    <w:bookmarkEnd w:id="35"/>
    <w:bookmarkEnd w:id="36"/>
    <w:bookmarkStart w:id="38" w:name="phase-5-evaluate-40-42-min"/>
    <w:p>
      <w:pPr>
        <w:pStyle w:val="Heading2"/>
      </w:pPr>
      <w:r>
        <w:t xml:space="preserve">Phase 5 · Evaluate</w:t>
      </w:r>
      <w:r>
        <w:t xml:space="preserve"> </w:t>
      </w:r>
      <w:r>
        <w:rPr>
          <w:i/>
          <w:iCs/>
        </w:rPr>
        <w:t xml:space="preserve">(40 – 42 min)</w:t>
      </w:r>
    </w:p>
    <w:bookmarkStart w:id="37" w:name="min-exit-ticket-closing-reflection"/>
    <w:p>
      <w:pPr>
        <w:pStyle w:val="Heading3"/>
      </w:pPr>
      <w:r>
        <w:t xml:space="preserve">40–42 min · Exit Ticket + Closing Reflection</w:t>
      </w:r>
    </w:p>
    <w:p>
      <w:pPr>
        <w:pStyle w:val="FirstParagraph"/>
      </w:pPr>
      <w:r>
        <w:t xml:space="preserve">Post or read aloud (electronegativity values: Mg = 1.2, F = 4.0, H = 2.1, Cl = 3.0; Fe is a metal):</w:t>
      </w:r>
    </w:p>
    <w:p>
      <w:pPr>
        <w:pStyle w:val="BlockText"/>
      </w:pPr>
      <w:r>
        <w:rPr>
          <w:i/>
          <w:iCs/>
        </w:rPr>
        <w:t xml:space="preserve">(a) Predict the bond type in MgF₂. Show element types, the ΔEN calculation, and the band it falls in.</w:t>
      </w:r>
      <w:r>
        <w:t xml:space="preserve"> </w:t>
      </w:r>
      <w:r>
        <w:rPr>
          <w:i/>
          <w:iCs/>
        </w:rPr>
        <w:t xml:space="preserve">(b) Predict the bond type in HCl. Show element types, the ΔEN calculation, and the band it falls in.</w:t>
      </w:r>
      <w:r>
        <w:t xml:space="preserve"> </w:t>
      </w:r>
      <w:r>
        <w:rPr>
          <w:i/>
          <w:iCs/>
        </w:rPr>
        <w:t xml:space="preserve">(c) Classify the bond in solid iron (Fe). In one sentence, explain how you know without calculating ΔEN.</w:t>
      </w:r>
    </w:p>
    <w:p>
      <w:pPr>
        <w:pStyle w:val="FirstParagraph"/>
      </w:pPr>
      <w:r>
        <w:t xml:space="preserve">Expected answers are in</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“Today we found a way to look at any two elements and predict how they bond — and that prediction explained something you could see in a glass of water. In one sentence: what is one thing that surprised you about how bonding connects to what you can observe, and who helped you figure something out?”</w:t>
      </w:r>
    </w:p>
    <w:p>
      <w:pPr>
        <w:pStyle w:val="FirstParagraph"/>
      </w:pPr>
      <w:r>
        <w:t xml:space="preserve">Collect worksheets; note which students applied</w:t>
      </w:r>
      <w:r>
        <w:t xml:space="preserve"> </w:t>
      </w:r>
      <w:r>
        <w:rPr>
          <w:i/>
          <w:iCs/>
        </w:rPr>
        <w:t xml:space="preserve">both</w:t>
      </w:r>
      <w:r>
        <w:t xml:space="preserve"> </w:t>
      </w:r>
      <w:r>
        <w:t xml:space="preserve">clues (element type and ΔEN) versus students who used ΔEN alone and mislabeled Cu–Cu or another metal pair. The two-clue check (especially distinguishing metallic from nonpolar covalent at ΔEN = 0) is the main conceptual stumbling block — target those students for a brief one-on-one at the start of the next lesson.</w:t>
      </w:r>
    </w:p>
    <w:p>
      <w:r>
        <w:pict>
          <v:rect style="width:0;height:1.5pt" o:hralign="center" o:hrstd="t" o:hr="t"/>
        </w:pict>
      </w:r>
    </w:p>
    <w:bookmarkEnd w:id="37"/>
    <w:bookmarkEnd w:id="38"/>
    <w:bookmarkStart w:id="39" w:name="common-misconceptions"/>
    <w:p>
      <w:pPr>
        <w:pStyle w:val="Heading2"/>
      </w:pPr>
      <w:r>
        <w:t xml:space="preserve">Common Misconceptions</w:t>
      </w:r>
    </w:p>
    <w:p>
      <w:pPr>
        <w:pStyle w:val="Compact"/>
        <w:numPr>
          <w:ilvl w:val="0"/>
          <w:numId w:val="1012"/>
        </w:numPr>
      </w:pPr>
      <w:r>
        <w:rPr>
          <w:b/>
          <w:bCs/>
        </w:rPr>
        <w:t xml:space="preserve">Misconception:</w:t>
      </w:r>
      <w:r>
        <w:t xml:space="preserve"> </w:t>
      </w:r>
      <w:r>
        <w:t xml:space="preserve">“If the electronegativity difference is 0, the bond must be nonpolar covalent.”</w:t>
      </w:r>
      <w:r>
        <w:t xml:space="preserve"> </w:t>
      </w:r>
      <w:r>
        <w:t xml:space="preserve">→</w:t>
      </w:r>
      <w:r>
        <w:t xml:space="preserve"> </w:t>
      </w:r>
      <w:r>
        <w:rPr>
          <w:b/>
          <w:bCs/>
        </w:rPr>
        <w:t xml:space="preserve">Correction:</w:t>
      </w:r>
      <w:r>
        <w:t xml:space="preserve"> </w:t>
      </w:r>
      <w:r>
        <w:t xml:space="preserve">ΔEN = 0 means</w:t>
      </w:r>
      <w:r>
        <w:t xml:space="preserve"> </w:t>
      </w:r>
      <w:r>
        <w:rPr>
          <w:i/>
          <w:iCs/>
        </w:rPr>
        <w:t xml:space="preserve">equal</w:t>
      </w:r>
      <w:r>
        <w:t xml:space="preserve"> </w:t>
      </w:r>
      <w:r>
        <w:t xml:space="preserve">pull, but you must also check the element types. Two</w:t>
      </w:r>
      <w:r>
        <w:t xml:space="preserve"> </w:t>
      </w:r>
      <w:r>
        <w:rPr>
          <w:i/>
          <w:iCs/>
        </w:rPr>
        <w:t xml:space="preserve">nonmetals</w:t>
      </w:r>
      <w:r>
        <w:t xml:space="preserve"> </w:t>
      </w:r>
      <w:r>
        <w:t xml:space="preserve">with ΔEN = 0 (like O₂) are nonpolar covalent; two</w:t>
      </w:r>
      <w:r>
        <w:t xml:space="preserve"> </w:t>
      </w:r>
      <w:r>
        <w:rPr>
          <w:i/>
          <w:iCs/>
        </w:rPr>
        <w:t xml:space="preserve">metals</w:t>
      </w:r>
      <w:r>
        <w:t xml:space="preserve"> </w:t>
      </w:r>
      <w:r>
        <w:t xml:space="preserve">with ΔEN = 0 (like Cu–Cu) are metallic — they pool electrons into a sea, not a shared pair. The number alone is not enough; element type breaks the tie.</w:t>
      </w:r>
    </w:p>
    <w:p>
      <w:pPr>
        <w:pStyle w:val="Compact"/>
        <w:numPr>
          <w:ilvl w:val="0"/>
          <w:numId w:val="1012"/>
        </w:numPr>
      </w:pPr>
      <w:r>
        <w:rPr>
          <w:b/>
          <w:bCs/>
        </w:rPr>
        <w:t xml:space="preserve">Misconception:</w:t>
      </w:r>
      <w:r>
        <w:t xml:space="preserve"> </w:t>
      </w:r>
      <w:r>
        <w:t xml:space="preserve">“Ionic bonds and covalent bonds are completely separate categories with nothing in between.”</w:t>
      </w:r>
      <w:r>
        <w:t xml:space="preserve"> </w:t>
      </w:r>
      <w:r>
        <w:t xml:space="preserve">→</w:t>
      </w:r>
      <w:r>
        <w:t xml:space="preserve"> </w:t>
      </w:r>
      <w:r>
        <w:rPr>
          <w:b/>
          <w:bCs/>
        </w:rPr>
        <w:t xml:space="preserve">Correction:</w:t>
      </w:r>
      <w:r>
        <w:t xml:space="preserve"> </w:t>
      </w:r>
      <w:r>
        <w:t xml:space="preserve">Bond character is a continuum set by ΔEN. ΔEN = 0 is perfectly even sharing (nonpolar covalent); a moderate ΔEN is uneven sharing (polar covalent); a large ΔEN is full transfer (ionic). Polar covalent bonds — like the O–H bonds in water — are partway between, which is exactly why water is charged enough on its ends to dissolve salt.</w:t>
      </w:r>
    </w:p>
    <w:p>
      <w:pPr>
        <w:pStyle w:val="Compact"/>
        <w:numPr>
          <w:ilvl w:val="0"/>
          <w:numId w:val="1012"/>
        </w:numPr>
      </w:pPr>
      <w:r>
        <w:rPr>
          <w:b/>
          <w:bCs/>
        </w:rPr>
        <w:t xml:space="preserve">Misconception:</w:t>
      </w:r>
      <w:r>
        <w:t xml:space="preserve"> </w:t>
      </w:r>
      <w:r>
        <w:t xml:space="preserve">“A bigger molecule has more bonds, so it must be ionic.”</w:t>
      </w:r>
      <w:r>
        <w:t xml:space="preserve"> </w:t>
      </w:r>
      <w:r>
        <w:t xml:space="preserve">→</w:t>
      </w:r>
      <w:r>
        <w:t xml:space="preserve"> </w:t>
      </w:r>
      <w:r>
        <w:rPr>
          <w:b/>
          <w:bCs/>
        </w:rPr>
        <w:t xml:space="preserve">Correction:</w:t>
      </w:r>
      <w:r>
        <w:t xml:space="preserve"> </w:t>
      </w:r>
      <w:r>
        <w:t xml:space="preserve">The number of bonds an atom forms is set by its valence electrons (how many it needs to reach a full shell), not by molecule size. Bond</w:t>
      </w:r>
      <w:r>
        <w:t xml:space="preserve"> </w:t>
      </w:r>
      <w:r>
        <w:rPr>
          <w:i/>
          <w:iCs/>
        </w:rPr>
        <w:t xml:space="preserve">type</w:t>
      </w:r>
      <w:r>
        <w:t xml:space="preserve"> </w:t>
      </w:r>
      <w:r>
        <w:t xml:space="preserve">is set by element type and ΔEN. A huge oil molecule is full of covalent bonds; a tiny salt formula unit is ionic. Size does not determine type.</w:t>
      </w:r>
    </w:p>
    <w:p>
      <w:pPr>
        <w:pStyle w:val="Compact"/>
        <w:numPr>
          <w:ilvl w:val="0"/>
          <w:numId w:val="1012"/>
        </w:numPr>
      </w:pPr>
      <w:r>
        <w:rPr>
          <w:b/>
          <w:bCs/>
        </w:rPr>
        <w:t xml:space="preserve">Misconception:</w:t>
      </w:r>
      <w:r>
        <w:t xml:space="preserve"> </w:t>
      </w:r>
      <w:r>
        <w:t xml:space="preserve">“Electronegativity is how reactive or how heavy an atom is.”</w:t>
      </w:r>
      <w:r>
        <w:t xml:space="preserve"> </w:t>
      </w:r>
      <w:r>
        <w:t xml:space="preserve">→</w:t>
      </w:r>
      <w:r>
        <w:t xml:space="preserve"> </w:t>
      </w:r>
      <w:r>
        <w:rPr>
          <w:b/>
          <w:bCs/>
        </w:rPr>
        <w:t xml:space="preserve">Correction:</w:t>
      </w:r>
      <w:r>
        <w:t xml:space="preserve"> </w:t>
      </w:r>
      <w:r>
        <w:t xml:space="preserve">Electronegativity is specifically how strongly an atom pulls on</w:t>
      </w:r>
      <w:r>
        <w:t xml:space="preserve"> </w:t>
      </w:r>
      <w:r>
        <w:rPr>
          <w:i/>
          <w:iCs/>
        </w:rPr>
        <w:t xml:space="preserve">shared electrons</w:t>
      </w:r>
      <w:r>
        <w:t xml:space="preserve"> </w:t>
      </w:r>
      <w:r>
        <w:t xml:space="preserve">in a bond. It is a number on the Reference Tables (F is highest at 4.0; metals are low). It is not atomic mass and not a general</w:t>
      </w:r>
      <w:r>
        <w:t xml:space="preserve"> </w:t>
      </w:r>
      <w:r>
        <w:t xml:space="preserve">‘reactivity’</w:t>
      </w:r>
      <w:r>
        <w:t xml:space="preserve"> </w:t>
      </w:r>
      <w:r>
        <w:t xml:space="preserve">score.</w:t>
      </w:r>
    </w:p>
    <w:p>
      <w:pPr>
        <w:pStyle w:val="Compact"/>
        <w:numPr>
          <w:ilvl w:val="0"/>
          <w:numId w:val="1012"/>
        </w:numPr>
      </w:pPr>
      <w:r>
        <w:rPr>
          <w:b/>
          <w:bCs/>
        </w:rPr>
        <w:t xml:space="preserve">Misconception:</w:t>
      </w:r>
      <w:r>
        <w:t xml:space="preserve"> </w:t>
      </w:r>
      <w:r>
        <w:t xml:space="preserve">“Metals bond to other metals by transferring electrons like ionic bonds.”</w:t>
      </w:r>
      <w:r>
        <w:t xml:space="preserve"> </w:t>
      </w:r>
      <w:r>
        <w:t xml:space="preserve">→</w:t>
      </w:r>
      <w:r>
        <w:t xml:space="preserve"> </w:t>
      </w:r>
      <w:r>
        <w:rPr>
          <w:b/>
          <w:bCs/>
        </w:rPr>
        <w:t xml:space="preserve">Correction:</w:t>
      </w:r>
      <w:r>
        <w:t xml:space="preserve"> </w:t>
      </w:r>
      <w:r>
        <w:t xml:space="preserve">A metal + metal pair does not transfer electrons to make ions; both atoms hold electrons loosely, so they pool their valence electrons into a shared</w:t>
      </w:r>
      <w:r>
        <w:t xml:space="preserve"> </w:t>
      </w:r>
      <w:r>
        <w:t xml:space="preserve">‘sea’</w:t>
      </w:r>
      <w:r>
        <w:t xml:space="preserve"> </w:t>
      </w:r>
      <w:r>
        <w:t xml:space="preserve">that flows around fixed cations — a metallic bond. That mobile sea is why metals bend, conduct, and pass the Bend-and-Stretch test.</w:t>
      </w:r>
    </w:p>
    <w:p>
      <w:r>
        <w:pict>
          <v:rect style="width:0;height:1.5pt" o:hralign="center" o:hrstd="t" o:hr="t"/>
        </w:pict>
      </w:r>
    </w:p>
    <w:bookmarkEnd w:id="39"/>
    <w:bookmarkStart w:id="40" w:name="access-differentiation"/>
    <w:p>
      <w:pPr>
        <w:pStyle w:val="Heading2"/>
      </w:pPr>
      <w:r>
        <w:t xml:space="preserve">Access &amp; Differentiation</w:t>
      </w:r>
    </w:p>
    <w:p>
      <w:pPr>
        <w:pStyle w:val="Compact"/>
        <w:numPr>
          <w:ilvl w:val="0"/>
          <w:numId w:val="1013"/>
        </w:numPr>
      </w:pPr>
      <w:r>
        <w:rPr>
          <w:b/>
          <w:bCs/>
        </w:rPr>
        <w:t xml:space="preserve">ELL/ENL supports:</w:t>
      </w:r>
      <w:r>
        <w:t xml:space="preserve"> </w:t>
      </w:r>
      <w:r>
        <w:t xml:space="preserve">Bond-prediction template pre-printed with column headers (Element | Metal/Nonmetal | EN | ΔEN | Predicted bond) and sentence frame: *“The bond in ___ is ___ because the ΔEN is ___ and the elements are ___.”* Word-choice box displayed on the board throughout: {electronegativity, electronegativity difference (ΔEN), ionic, covalent, metallic, metal, nonmetal, transfer, share}. Pair each bond type with a gesture: hands pushing apart for transfer (ionic), hands clasping for share (covalent), fingers wiggling for the electron sea (metallic). Pair the number line (visual) with each numeric answer so students self-check the band.</w:t>
      </w:r>
    </w:p>
    <w:p>
      <w:pPr>
        <w:pStyle w:val="Compact"/>
        <w:numPr>
          <w:ilvl w:val="0"/>
          <w:numId w:val="1013"/>
        </w:numPr>
      </w:pPr>
      <w:r>
        <w:rPr>
          <w:b/>
          <w:bCs/>
        </w:rPr>
        <w:t xml:space="preserve">IEP/SPED supports:</w:t>
      </w:r>
      <w:r>
        <w:t xml:space="preserve"> </w:t>
      </w:r>
      <w:r>
        <w:t xml:space="preserve">Pre-fill the electronegativity values for the elements used in practice (Na = 0.9, Cl = 3.0, O = 3.5, H = 2.1, Cu = 1.9, Mg = 1.2, F = 4.0) on a separate card so the Reference Table lookup is removed as a barrier. Provide a printed copy of the number line at each desk so students can physically place their ΔEN value in a band. Offer one-pair-at-a-time table structure where the student completes one row before seeing the next. Calculator use expected for the subtraction; the conceptual work (identify element types, place the number, choose the bond) is the skill target.</w:t>
      </w:r>
    </w:p>
    <w:p>
      <w:pPr>
        <w:pStyle w:val="Compact"/>
        <w:numPr>
          <w:ilvl w:val="0"/>
          <w:numId w:val="1013"/>
        </w:numPr>
      </w:pPr>
      <w:r>
        <w:rPr>
          <w:b/>
          <w:bCs/>
        </w:rPr>
        <w:t xml:space="preserve">Extensions:</w:t>
      </w:r>
      <w:r>
        <w:t xml:space="preserve"> </w:t>
      </w:r>
      <w:r>
        <w:t xml:space="preserve">(1) Rank these three bonds by ΔEN and explain the trend: C–H (0.4), N–H (0.9), O–H (1.4) — why does electronegativity of the partner atom drive the polarity? (2) Carbon dioxide (CO₂) has polar C=O bonds yet the whole molecule is nonpolar — research how bond</w:t>
      </w:r>
      <w:r>
        <w:t xml:space="preserve"> </w:t>
      </w:r>
      <w:r>
        <w:rPr>
          <w:i/>
          <w:iCs/>
        </w:rPr>
        <w:t xml:space="preserve">geometry</w:t>
      </w:r>
      <w:r>
        <w:t xml:space="preserve"> </w:t>
      </w:r>
      <w:r>
        <w:t xml:space="preserve">can cancel polarity, and connect it to why CO₂ behaves more like oil than like water in some respects. (3) Predict and justify the bond in calcium fluoride (CaF₂) versus the bond in methane (CH₄), then connect each prediction to whether you’d expect the substance to dissolve in water.</w:t>
      </w:r>
    </w:p>
    <w:p>
      <w:r>
        <w:pict>
          <v:rect style="width:0;height:1.5pt" o:hralign="center" o:hrstd="t" o:hr="t"/>
        </w:pict>
      </w:r>
    </w:p>
    <w:bookmarkEnd w:id="40"/>
    <w:bookmarkStart w:id="41" w:name="strategy-spotlight"/>
    <w:p>
      <w:pPr>
        <w:pStyle w:val="Heading2"/>
      </w:pPr>
      <w:r>
        <w:t xml:space="preserve">Strategy Spotlight</w:t>
      </w:r>
    </w:p>
    <w:p>
      <w:pPr>
        <w:pStyle w:val="FirstParagraph"/>
      </w:pPr>
      <w:r>
        <w:rPr>
          <w:b/>
          <w:bCs/>
        </w:rPr>
        <w:t xml:space="preserve">HOCHMAN — Appositive sentence.</w:t>
      </w:r>
      <w:r>
        <w:t xml:space="preserve"> </w:t>
      </w:r>
      <w:r>
        <w:t xml:space="preserve">The Hochman Writing Method (Judith Hochman and the Writing Revolution) treats sentence-level writing as a thinking tool. For this lesson the featured technique is the</w:t>
      </w:r>
      <w:r>
        <w:t xml:space="preserve"> </w:t>
      </w:r>
      <w:r>
        <w:rPr>
          <w:b/>
          <w:bCs/>
        </w:rPr>
        <w:t xml:space="preserve">appositive</w:t>
      </w:r>
      <w:r>
        <w:t xml:space="preserve">, a noun phrase set off by dashes (or commas) that renames or defines the noun it follows. The appositive is ideal for a vocabulary-heavy, predictive lesson because it forces the student to embed a definition into a subject-verb sentence rather than reciting it in isolation.</w:t>
      </w:r>
    </w:p>
    <w:p>
      <w:pPr>
        <w:pStyle w:val="BodyText"/>
      </w:pPr>
      <w:r>
        <w:rPr>
          <w:b/>
          <w:bCs/>
        </w:rPr>
        <w:t xml:space="preserve">The target appositive for this lesson:</w:t>
      </w:r>
    </w:p>
    <w:p>
      <w:pPr>
        <w:pStyle w:val="BlockText"/>
      </w:pPr>
      <w:r>
        <w:rPr>
          <w:i/>
          <w:iCs/>
        </w:rPr>
        <w:t xml:space="preserve">Electronegativity — a measure of how strongly an atom pulls on shared electrons — determines whether a bond is ionic or covalent.</w:t>
      </w:r>
    </w:p>
    <w:p>
      <w:pPr>
        <w:pStyle w:val="FirstParagraph"/>
      </w:pPr>
      <w:r>
        <w:t xml:space="preserve">This sentence structure does three things simultaneously: (1) names the term, (2) defines it in a concise phrase between the dashes, and (3) states why it matters (it determines bond type) in the main clause. Students who can write and say this sentence — not just recite the definition separately — are integrating the term into their active vocabulary.</w:t>
      </w:r>
    </w:p>
    <w:p>
      <w:pPr>
        <w:pStyle w:val="BodyText"/>
      </w:pPr>
      <w:r>
        <w:rPr>
          <w:b/>
          <w:bCs/>
        </w:rPr>
        <w:t xml:space="preserve">How to run it in this lesson (Phase 3 → Phase 4):</w:t>
      </w:r>
    </w:p>
    <w:p>
      <w:pPr>
        <w:pStyle w:val="Compact"/>
        <w:numPr>
          <w:ilvl w:val="0"/>
          <w:numId w:val="1014"/>
        </w:numPr>
      </w:pPr>
      <w:r>
        <w:t xml:space="preserve">Post and read aloud the model appositive sentence together (Phase 3 vocabulary).</w:t>
      </w:r>
    </w:p>
    <w:p>
      <w:pPr>
        <w:pStyle w:val="Compact"/>
        <w:numPr>
          <w:ilvl w:val="0"/>
          <w:numId w:val="1014"/>
        </w:numPr>
      </w:pPr>
      <w:r>
        <w:t xml:space="preserve">Ask students to write a parallel appositive for a specific bond:</w:t>
      </w:r>
      <w:r>
        <w:t xml:space="preserve"> </w:t>
      </w:r>
      <w:r>
        <w:rPr>
          <w:i/>
          <w:iCs/>
        </w:rPr>
        <w:t xml:space="preserve">“The bond in sodium chloride — an ionic bond formed because ΔEN = 2.1 — holds the salt together until water pulls the ions apart.”</w:t>
      </w:r>
      <w:r>
        <w:t xml:space="preserve"> </w:t>
      </w:r>
      <w:r>
        <w:t xml:space="preserve">This requires them to substitute the value they calculated in Phase 2, confirming the definition connects to their concrete work.</w:t>
      </w:r>
    </w:p>
    <w:p>
      <w:pPr>
        <w:pStyle w:val="Compact"/>
        <w:numPr>
          <w:ilvl w:val="0"/>
          <w:numId w:val="1014"/>
        </w:numPr>
      </w:pPr>
      <w:r>
        <w:t xml:space="preserve">In Phase 4, students write their own appositive for a bond of their choice and a Because/But/So sentence contrasting salt and oil. Cold-call two or three students; ask: does the appositive phrase correctly define the term? Does the main clause state why bond type matters?</w:t>
      </w:r>
    </w:p>
    <w:p>
      <w:pPr>
        <w:pStyle w:val="FirstParagraph"/>
      </w:pPr>
      <w:r>
        <w:rPr>
          <w:b/>
          <w:bCs/>
        </w:rPr>
        <w:t xml:space="preserve">Why the appositive fits this lesson:</w:t>
      </w:r>
      <w:r>
        <w:t xml:space="preserve"> </w:t>
      </w:r>
      <w:r>
        <w:t xml:space="preserve">The terms</w:t>
      </w:r>
      <w:r>
        <w:t xml:space="preserve"> </w:t>
      </w:r>
      <w:r>
        <w:t xml:space="preserve">“ionic,”</w:t>
      </w:r>
      <w:r>
        <w:t xml:space="preserve"> </w:t>
      </w:r>
      <w:r>
        <w:t xml:space="preserve">“covalent,”</w:t>
      </w:r>
      <w:r>
        <w:t xml:space="preserve"> </w:t>
      </w:r>
      <w:r>
        <w:t xml:space="preserve">and</w:t>
      </w:r>
      <w:r>
        <w:t xml:space="preserve"> </w:t>
      </w:r>
      <w:r>
        <w:t xml:space="preserve">“electronegativity”</w:t>
      </w:r>
      <w:r>
        <w:t xml:space="preserve"> </w:t>
      </w:r>
      <w:r>
        <w:t xml:space="preserve">sound abstract, but the appositive makes each one carry its own definition into a real sentence about a real glass of salt water. Students who write</w:t>
      </w:r>
      <w:r>
        <w:t xml:space="preserve"> </w:t>
      </w:r>
      <w:r>
        <w:rPr>
          <w:i/>
          <w:iCs/>
        </w:rPr>
        <w:t xml:space="preserve">“electronegativity — how strongly an atom pulls on shared electrons —”</w:t>
      </w:r>
      <w:r>
        <w:t xml:space="preserve"> </w:t>
      </w:r>
      <w:r>
        <w:t xml:space="preserve">will be far less likely to confuse electronegativity with mass, reactivity, or ionization energy in future units.</w:t>
      </w:r>
    </w:p>
    <w:p>
      <w:pPr>
        <w:pStyle w:val="BodyText"/>
      </w:pPr>
      <w:r>
        <w:rPr>
          <w:b/>
          <w:bCs/>
        </w:rPr>
        <w:t xml:space="preserve">CRSE connection:</w:t>
      </w:r>
      <w:r>
        <w:t xml:space="preserve"> </w:t>
      </w:r>
      <w:r>
        <w:t xml:space="preserve">The opening circle and the phenomenon both use the kitchen — salt, oil, water — substances present in every home and every cultural cuisine. Grounding an atomic-scale idea (bond type) in something students have personally watched happen at a stove or sink honors out-of-school knowledge and makes the chemistry feel continuous with lived experience rather than confined to the lab. Inviting students to name their own</w:t>
      </w:r>
      <w:r>
        <w:t xml:space="preserve"> </w:t>
      </w:r>
      <w:r>
        <w:t xml:space="preserve">“dissolves vs. clumps”</w:t>
      </w:r>
      <w:r>
        <w:t xml:space="preserve"> </w:t>
      </w:r>
      <w:r>
        <w:t xml:space="preserve">example in the circle signals that their everyday observations are legitimate scientific data.</w:t>
      </w:r>
    </w:p>
    <w:p>
      <w:r>
        <w:pict>
          <v:rect style="width:0;height:1.5pt" o:hralign="center" o:hrstd="t" o:hr="t"/>
        </w:pict>
      </w:r>
    </w:p>
    <w:bookmarkEnd w:id="41"/>
    <w:bookmarkStart w:id="42" w:name="nyssls-observation-checklist-crosswalk"/>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salt-vs-oil in two glasses of water; particle-model panels</w:t>
            </w:r>
            <w:r>
              <w:t xml:space="preserve"> </w:t>
            </w:r>
            <w:r>
              <w:rPr>
                <w:rStyle w:val="VerbatimChar"/>
              </w:rPr>
              <w:t xml:space="preserve">three_bond_types.png</w:t>
            </w:r>
            <w:r>
              <w:t xml:space="preserve">; return in Phase 4 to explain the glasses with bond type</w:t>
            </w:r>
          </w:p>
        </w:tc>
      </w:tr>
      <w:tr>
        <w:tc>
          <w:tcPr/>
          <w:p>
            <w:pPr>
              <w:pStyle w:val="Compact"/>
            </w:pPr>
            <w:r>
              <w:t xml:space="preserve">2</w:t>
            </w:r>
          </w:p>
        </w:tc>
        <w:tc>
          <w:tcPr/>
          <w:p>
            <w:pPr>
              <w:pStyle w:val="Compact"/>
            </w:pPr>
            <w:r>
              <w:t xml:space="preserve">Turn and Talk (2–3×)</w:t>
            </w:r>
          </w:p>
        </w:tc>
        <w:tc>
          <w:tcPr/>
          <w:p>
            <w:pPr>
              <w:pStyle w:val="Compact"/>
            </w:pPr>
            <w:r>
              <w:t xml:space="preserve">Phase 1 (TT#1 — predict transfer vs. share from element types); Phase 3 (TT#2 — what pattern links ΔEN size to how electrons are handled?)</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ABCs sort (predict from element type before any cutoff); Initial Model ΔEN calculation; group investigation (Na–Cl, O–O, H–O, Cu–Cu)</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Patterns</w:t>
            </w:r>
            <w:r>
              <w:t xml:space="preserve">, explicit in Phase 3 (ΔEN→bond-type pattern, MgF₂ prediction) and Phase 4 (B/B/S salt vs. oil)</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electronegativity / ionic bond / covalent bond</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use ΔEN values (NaCl 2.1, C–H 0.4, O–H 1.4) to explain why salt dissolves and oil does not; number line used to self-check bands</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prediction template, sentence frame, word-choice box, pre-filled EN values, printed number line, one-pair-at-a-time table, calculator</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(predict and justify MgF₂ and HCl bonds; classify Fe metallic bond)</w:t>
            </w:r>
          </w:p>
        </w:tc>
      </w:tr>
    </w:tbl>
    <w:p>
      <w:r>
        <w:pict>
          <v:rect style="width:0;height:1.5pt" o:hralign="center" o:hrstd="t" o:hr="t"/>
        </w:pict>
      </w:r>
    </w:p>
    <w:bookmarkEnd w:id="42"/>
    <w:bookmarkStart w:id="43" w:name="companion-materials"/>
    <w:p>
      <w:pPr>
        <w:pStyle w:val="Heading2"/>
      </w:pPr>
      <w:r>
        <w:t xml:space="preserve">Companion Materials</w:t>
      </w:r>
    </w:p>
    <w:p>
      <w:pPr>
        <w:pStyle w:val="Compact"/>
        <w:numPr>
          <w:ilvl w:val="0"/>
          <w:numId w:val="1015"/>
        </w:numPr>
      </w:pPr>
      <w:r>
        <w:rPr>
          <w:rStyle w:val="VerbatimChar"/>
        </w:rPr>
        <w:t xml:space="preserve">Student_Worksheet.docx</w:t>
      </w:r>
      <w:r>
        <w:t xml:space="preserve"> </w:t>
      </w:r>
      <w:r>
        <w:t xml:space="preserve">— the 5E student investigation (hand out at start of Phase 2)</w:t>
      </w:r>
    </w:p>
    <w:p>
      <w:pPr>
        <w:pStyle w:val="Compact"/>
        <w:numPr>
          <w:ilvl w:val="0"/>
          <w:numId w:val="1015"/>
        </w:numPr>
      </w:pPr>
      <w:r>
        <w:rPr>
          <w:rStyle w:val="VerbatimChar"/>
        </w:rPr>
        <w:t xml:space="preserve">Student_Notes.docx</w:t>
      </w:r>
      <w:r>
        <w:t xml:space="preserve"> </w:t>
      </w:r>
      <w:r>
        <w:t xml:space="preserve">— guided note-guide for vocabulary and the worked bond-prediction example</w:t>
      </w:r>
    </w:p>
    <w:p>
      <w:pPr>
        <w:pStyle w:val="Compact"/>
        <w:numPr>
          <w:ilvl w:val="0"/>
          <w:numId w:val="1015"/>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43"/>
    <w:bookmarkStart w:id="44" w:name="key-vocabulary-max-3"/>
    <w:p>
      <w:pPr>
        <w:pStyle w:val="Heading2"/>
      </w:pPr>
      <w:r>
        <w:t xml:space="preserve">Key Vocabulary (max 3)</w:t>
      </w:r>
    </w:p>
    <w:p>
      <w:pPr>
        <w:pStyle w:val="Compact"/>
        <w:numPr>
          <w:ilvl w:val="0"/>
          <w:numId w:val="1016"/>
        </w:numPr>
      </w:pPr>
      <w:r>
        <w:rPr>
          <w:b/>
          <w:bCs/>
        </w:rPr>
        <w:t xml:space="preserve">electronegativity</w:t>
      </w:r>
      <w:r>
        <w:t xml:space="preserve"> </w:t>
      </w:r>
      <w:r>
        <w:t xml:space="preserve">— a measure of how strongly an atom pulls on the shared electrons in a bond; read from the Periodic Table / Reference Tables (fluorine is highest at 4.0; metals are low); the difference in electronegativity between two atoms (ΔEN) predicts whether their bond is ionic or covalent</w:t>
      </w:r>
    </w:p>
    <w:p>
      <w:pPr>
        <w:pStyle w:val="Compact"/>
        <w:numPr>
          <w:ilvl w:val="0"/>
          <w:numId w:val="1016"/>
        </w:numPr>
      </w:pPr>
      <w:r>
        <w:rPr>
          <w:b/>
          <w:bCs/>
        </w:rPr>
        <w:t xml:space="preserve">ionic bond</w:t>
      </w:r>
      <w:r>
        <w:t xml:space="preserve"> </w:t>
      </w:r>
      <w:r>
        <w:t xml:space="preserve">— the attraction between oppositely charged ions formed when a metal transfers one or more electrons to a nonmetal; occurs when the electronegativity difference is large (≥ 1.7); produces charged ions (e.g., Na⁺ and Cl⁻ in table salt) that polar water can pull apart</w:t>
      </w:r>
    </w:p>
    <w:p>
      <w:pPr>
        <w:pStyle w:val="Compact"/>
        <w:numPr>
          <w:ilvl w:val="0"/>
          <w:numId w:val="1016"/>
        </w:numPr>
      </w:pPr>
      <w:r>
        <w:rPr>
          <w:b/>
          <w:bCs/>
        </w:rPr>
        <w:t xml:space="preserve">covalent bond</w:t>
      </w:r>
      <w:r>
        <w:t xml:space="preserve"> </w:t>
      </w:r>
      <w:r>
        <w:t xml:space="preserve">— a bond formed when two nonmetals share one or more pairs of electrons; occurs when the electronegativity difference is small (&lt; 1.7); even sharing (ΔEN ≈ 0) is nonpolar covalent (e.g., O₂), uneven sharing is polar covalent (e.g., the O–H bonds in water)</w:t>
      </w:r>
    </w:p>
    <w:bookmarkEnd w:id="44"/>
    <w:bookmarkEnd w:id="45"/>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4" Target="media/rId24.png" /><Relationship Type="http://schemas.openxmlformats.org/officeDocument/2006/relationships/image" Id="rId17" Target="media/rId1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2026-06-01T19:45:31Z</dcterms:created>
  <dcterms:modified xsi:type="dcterms:W3CDTF">2026-06-01T19:45:31Z</dcterms:modified>
</cp:coreProperties>
</file>

<file path=docProps/custom.xml><?xml version="1.0" encoding="utf-8"?>
<Properties xmlns="http://schemas.openxmlformats.org/officeDocument/2006/custom-properties" xmlns:vt="http://schemas.openxmlformats.org/officeDocument/2006/docPropsVTypes"/>
</file>