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5c443aaab8c6d3f1e4da70e326b27b626d7436f"/>
    <w:p>
      <w:pPr>
        <w:pStyle w:val="Heading1"/>
      </w:pPr>
      <w:r>
        <w:t xml:space="preserve">Covalent Bonding &amp; Organic Structures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Chemical Bonding — Lesson 05: Covalent Bonding (incl. Organic Structures)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HS-PS1-1 (supporting) — atoms share electron pairs; single/double/triple bonds; structural formulas</w:t>
      </w:r>
      <w:r>
        <w:t xml:space="preserve"> </w:t>
      </w:r>
      <w:r>
        <w:t xml:space="preserve">CCC: Structure and Function · Strategy: HOCHMAN (appositive + Because/But/So)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Water (H₂O).</w:t>
      </w:r>
      <w:r>
        <w:t xml:space="preserve"> </w:t>
      </w:r>
      <w:r>
        <w:rPr>
          <w:b/>
          <w:bCs/>
        </w:rPr>
        <w:t xml:space="preserve">Bonds total:</w:t>
      </w:r>
      <w:r>
        <w:t xml:space="preserve"> </w:t>
      </w:r>
      <w:r>
        <w:t xml:space="preserve">2 (one single bond from oxygen to each hydrogen).</w:t>
      </w:r>
      <w:r>
        <w:t xml:space="preserve"> </w:t>
      </w:r>
      <w:r>
        <w:rPr>
          <w:b/>
          <w:bCs/>
        </w:rPr>
        <w:t xml:space="preserve">Structural formula:</w:t>
      </w:r>
      <w:r>
        <w:t xml:space="preserve"> </w:t>
      </w:r>
      <w:r>
        <w:t xml:space="preserve">H–O–H, drawn</w:t>
      </w:r>
      <w:r>
        <w:t xml:space="preserve"> </w:t>
      </w:r>
      <w:r>
        <w:rPr>
          <w:b/>
          <w:bCs/>
        </w:rPr>
        <w:t xml:space="preserve">bent</w:t>
      </w:r>
      <w:r>
        <w:t xml:space="preserve"> </w:t>
      </w:r>
      <w:r>
        <w:t xml:space="preserve">(the two O–H bonds form an angle of about 105°, not a straight line).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full credit for 2 single bonds AND a bent drawing; partial credit if drawn straight (H–O–H in a line) but with the correct two single bonds. · NYSSLS: HS-PS1-1 (supporting).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Methane (CH₄).</w:t>
      </w:r>
      <w:r>
        <w:t xml:space="preserve"> </w:t>
      </w:r>
      <w:r>
        <w:rPr>
          <w:b/>
          <w:bCs/>
        </w:rPr>
        <w:t xml:space="preserve">Bonds on carbon:</w:t>
      </w:r>
      <w:r>
        <w:t xml:space="preserve"> </w:t>
      </w:r>
      <w:r>
        <w:t xml:space="preserve">4 (one single bond to each of the four hydrogens).</w:t>
      </w:r>
      <w:r>
        <w:t xml:space="preserve"> </w:t>
      </w:r>
      <w:r>
        <w:rPr>
          <w:b/>
          <w:bCs/>
        </w:rPr>
        <w:t xml:space="preserve">Structural formula:</w:t>
      </w:r>
      <w:r>
        <w:t xml:space="preserve"> </w:t>
      </w:r>
      <w:r>
        <w:t xml:space="preserve">carbon in the center with four single lines, one to each H (drawn spread out, roughly in four directions).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full credit for exactly 4 single bonds on carbon; common error is drawing only 3 or 5 — carbon must have exactly 4. · NYSSLS: HS-PS1-1 (supporting).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Carbon dioxide (CO₂).</w:t>
      </w:r>
      <w:r>
        <w:t xml:space="preserve"> </w:t>
      </w:r>
      <w:r>
        <w:rPr>
          <w:b/>
          <w:bCs/>
        </w:rPr>
        <w:t xml:space="preserve">Shared pairs between carbon and EACH oxygen:</w:t>
      </w:r>
      <w:r>
        <w:t xml:space="preserve"> </w:t>
      </w:r>
      <w:r>
        <w:t xml:space="preserve">2 (a double bond = two shared pairs = 4 electrons).</w:t>
      </w:r>
      <w:r>
        <w:t xml:space="preserve"> </w:t>
      </w:r>
      <w:r>
        <w:rPr>
          <w:b/>
          <w:bCs/>
        </w:rPr>
        <w:t xml:space="preserve">Structural formula:</w:t>
      </w:r>
      <w:r>
        <w:t xml:space="preserve"> </w:t>
      </w:r>
      <w:r>
        <w:t xml:space="preserve">O=C=O, with a double line (two parallel lines) between the carbon and each oxygen. Carbon’s bonds total 2 + 2 = 4.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full credit for double bonds (two lines) to each oxygen AND recognition that carbon still has 4 bonds total; partial credit if single bonds are drawn (the most common error — students forget CO₂ needs double bonds). · NYSSLS: HS-PS1-1 (supporting).</w:t>
      </w:r>
    </w:p>
    <w:p>
      <w:pPr>
        <w:pStyle w:val="FirstParagraph"/>
      </w:pPr>
      <w:r>
        <w:rPr>
          <w:b/>
          <w:bCs/>
        </w:rPr>
        <w:t xml:space="preserve">Investigation reference (for grading Parts 1–3):</w:t>
      </w:r>
    </w:p>
    <w:p>
      <w:pPr>
        <w:pStyle w:val="Compact"/>
        <w:numPr>
          <w:ilvl w:val="0"/>
          <w:numId w:val="1002"/>
        </w:numPr>
      </w:pPr>
      <w:r>
        <w:t xml:space="preserve">Part 1: H₂O — central O, 1 stick to each H, 2 bonds on O. CH₄ — central C, 1 stick to each H, 4 bonds on C. NH₃ — central N, 1 stick to each H, 3 bonds on N. CO₂ — central C, 2 sticks to each O, 4 bonds on C. (a) CO₂ needed more than one stick. (b) 2 sticks. (c) Yes — carbon has 4 bonds in both CH₄ (4 singles) and CO₂ (2 doubles = 4).</w:t>
      </w:r>
    </w:p>
    <w:p>
      <w:pPr>
        <w:pStyle w:val="Compact"/>
        <w:numPr>
          <w:ilvl w:val="0"/>
          <w:numId w:val="1002"/>
        </w:numPr>
      </w:pPr>
      <w:r>
        <w:t xml:space="preserve">Part 2: (a) 6 hydrogens. (b) C₂H₆ (ethane). (c) Carbon forms four bonds and can bond to another carbon, so carbons link into chains.</w:t>
      </w:r>
    </w:p>
    <w:p>
      <w:pPr>
        <w:pStyle w:val="Compact"/>
        <w:numPr>
          <w:ilvl w:val="0"/>
          <w:numId w:val="1002"/>
        </w:numPr>
      </w:pPr>
      <w:r>
        <w:t xml:space="preserve">Part 3: Single = 1 line, 1 pair, 2 electrons. Double = 2 lines, 2 pairs, 4 electrons. Triple = 3 lines, 3 pairs, 6 electrons.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rPr>
          <w:b/>
          <w:bCs/>
        </w:rPr>
        <w:t xml:space="preserve">(a) CCl₄ (carbon tetrachloride).</w:t>
      </w:r>
      <w:r>
        <w:t xml:space="preserve"> </w:t>
      </w:r>
      <w:r>
        <w:t xml:space="preserve">Carbon is the central atom with</w:t>
      </w:r>
      <w:r>
        <w:t xml:space="preserve"> </w:t>
      </w:r>
      <w:r>
        <w:rPr>
          <w:b/>
          <w:bCs/>
        </w:rPr>
        <w:t xml:space="preserve">four single bonds</w:t>
      </w:r>
      <w:r>
        <w:t xml:space="preserve">, one to each chlorine. Structural formula: C in the center, four single lines, one Cl on the end of each line (drawn spread out). Carbon’s bonds total 4.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full credit for exactly 4 single bonds, central carbon, 4 chlorines. Note: this molecule was NOT practiced on the worksheet — it tests transfer of the</w:t>
      </w:r>
      <w:r>
        <w:t xml:space="preserve"> </w:t>
      </w:r>
      <w:r>
        <w:t xml:space="preserve">“carbon makes 4 bonds”</w:t>
      </w:r>
      <w:r>
        <w:t xml:space="preserve"> </w:t>
      </w:r>
      <w:r>
        <w:t xml:space="preserve">rule to a new molecule. Partial credit for correct central atom and bond type but wrong count.</w:t>
      </w:r>
    </w:p>
    <w:p>
      <w:pPr>
        <w:pStyle w:val="BodyText"/>
      </w:pPr>
      <w:r>
        <w:rPr>
          <w:b/>
          <w:bCs/>
        </w:rPr>
        <w:t xml:space="preserve">(b) HCN (hydrogen cyanide, H–C≡N).</w:t>
      </w:r>
      <w:r>
        <w:t xml:space="preserve"> </w:t>
      </w:r>
      <w:r>
        <w:t xml:space="preserve">Between carbon and nitrogen there are</w:t>
      </w:r>
      <w:r>
        <w:t xml:space="preserve"> </w:t>
      </w:r>
      <w:r>
        <w:rPr>
          <w:b/>
          <w:bCs/>
        </w:rPr>
        <w:t xml:space="preserve">3 shared pairs</w:t>
      </w:r>
      <w:r>
        <w:t xml:space="preserve"> </w:t>
      </w:r>
      <w:r>
        <w:t xml:space="preserve">(6 electrons); this is a</w:t>
      </w:r>
      <w:r>
        <w:t xml:space="preserve"> </w:t>
      </w:r>
      <w:r>
        <w:rPr>
          <w:b/>
          <w:bCs/>
        </w:rPr>
        <w:t xml:space="preserve">triple bond</w:t>
      </w:r>
      <w:r>
        <w:t xml:space="preserve">. (The H–C bond is a single bond, but the question asks only about the C–N connection.)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full credit for</w:t>
      </w:r>
      <w:r>
        <w:t xml:space="preserve"> </w:t>
      </w:r>
      <w:r>
        <w:t xml:space="preserve">“3 pairs”</w:t>
      </w:r>
      <w:r>
        <w:t xml:space="preserve"> </w:t>
      </w:r>
      <w:r>
        <w:t xml:space="preserve">AND</w:t>
      </w:r>
      <w:r>
        <w:t xml:space="preserve"> </w:t>
      </w:r>
      <w:r>
        <w:t xml:space="preserve">“triple”</w:t>
      </w:r>
      <w:r>
        <w:t xml:space="preserve">; partial credit for naming</w:t>
      </w:r>
      <w:r>
        <w:t xml:space="preserve"> </w:t>
      </w:r>
      <w:r>
        <w:t xml:space="preserve">“triple”</w:t>
      </w:r>
      <w:r>
        <w:t xml:space="preserve"> </w:t>
      </w:r>
      <w:r>
        <w:t xml:space="preserve">without the pair count, or vice versa.</w:t>
      </w:r>
    </w:p>
    <w:p>
      <w:pPr>
        <w:pStyle w:val="BodyText"/>
      </w:pPr>
      <w:r>
        <w:rPr>
          <w:b/>
          <w:bCs/>
        </w:rPr>
        <w:t xml:space="preserve">(c) Because/But/So — structure to function.</w:t>
      </w:r>
      <w:r>
        <w:t xml:space="preserve"> </w:t>
      </w:r>
      <w:r>
        <w:t xml:space="preserve">Sample full-credit responses (any ONE property is acceptable):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Surface tension:</w:t>
      </w:r>
      <w:r>
        <w:t xml:space="preserve"> </w:t>
      </w:r>
      <w:r>
        <w:t xml:space="preserve">“Water has high surface tension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its bent structure makes each molecule cling tightly to its neighbors,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a flat steel paperclip cannot push through that clinging surface,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the denser paperclip floats on top.”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Floating ice:</w:t>
      </w:r>
      <w:r>
        <w:t xml:space="preserve"> </w:t>
      </w:r>
      <w:r>
        <w:t xml:space="preserve">“Ice floats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water’s bent structure forces frozen molecules into an open, spread-out arrangement,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the same mass then takes up more space than liquid water,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solid ice is less dense and floats.”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High boiling point:</w:t>
      </w:r>
      <w:r>
        <w:t xml:space="preserve"> </w:t>
      </w:r>
      <w:r>
        <w:t xml:space="preserve">“Water boils at a high temperature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its bent, lopsided structure makes molecules cling strongly to one another,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methane molecules do not cling nearly as strongly,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it takes far more energy (a higher temperature) to boil water into a gas.”</w:t>
      </w:r>
    </w:p>
    <w:p>
      <w:pPr>
        <w:pStyle w:val="FirstParagraph"/>
      </w:pPr>
      <w:r>
        <w:t xml:space="preserve">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full credit requires the</w:t>
      </w:r>
      <w:r>
        <w:t xml:space="preserve"> </w:t>
      </w:r>
      <w:r>
        <w:t xml:space="preserve">“because”</w:t>
      </w:r>
      <w:r>
        <w:t xml:space="preserve"> </w:t>
      </w:r>
      <w:r>
        <w:t xml:space="preserve">to name the molecule’s</w:t>
      </w:r>
      <w:r>
        <w:t xml:space="preserve"> </w:t>
      </w:r>
      <w:r>
        <w:rPr>
          <w:b/>
          <w:bCs/>
        </w:rPr>
        <w:t xml:space="preserve">structure</w:t>
      </w:r>
      <w:r>
        <w:t xml:space="preserve"> </w:t>
      </w:r>
      <w:r>
        <w:t xml:space="preserve">(bent shape / shared-electron arrangement / clinging molecules), and the</w:t>
      </w:r>
      <w:r>
        <w:t xml:space="preserve"> </w:t>
      </w:r>
      <w:r>
        <w:t xml:space="preserve">“so”</w:t>
      </w:r>
      <w:r>
        <w:t xml:space="preserve"> </w:t>
      </w:r>
      <w:r>
        <w:t xml:space="preserve">to name the resulting</w:t>
      </w:r>
      <w:r>
        <w:t xml:space="preserve"> </w:t>
      </w:r>
      <w:r>
        <w:rPr>
          <w:b/>
          <w:bCs/>
        </w:rPr>
        <w:t xml:space="preserve">property</w:t>
      </w:r>
      <w:r>
        <w:t xml:space="preserve"> </w:t>
      </w:r>
      <w:r>
        <w:t xml:space="preserve">(function). Any equivalent, logically connected response earns full credit. · NYSSLS: HS-PS1-1 (supporting).</w:t>
      </w:r>
    </w:p>
    <w:p>
      <w:pPr>
        <w:pStyle w:val="BodyText"/>
      </w:pPr>
      <w:r>
        <w:rPr>
          <w:i/>
          <w:iCs/>
        </w:rPr>
        <w:t xml:space="preserve">Tolerance/rubric summary:</w:t>
      </w:r>
      <w:r>
        <w:t xml:space="preserve"> </w:t>
      </w:r>
      <w:r>
        <w:t xml:space="preserve">(a) 1 point — correct CCl₄ structure with 4 single bonds. (b) 1 point —</w:t>
      </w:r>
      <w:r>
        <w:t xml:space="preserve"> </w:t>
      </w:r>
      <w:r>
        <w:t xml:space="preserve">“3 pairs”</w:t>
      </w:r>
      <w:r>
        <w:t xml:space="preserve"> </w:t>
      </w:r>
      <w:r>
        <w:t xml:space="preserve">and</w:t>
      </w:r>
      <w:r>
        <w:t xml:space="preserve"> </w:t>
      </w:r>
      <w:r>
        <w:t xml:space="preserve">“triple”</w:t>
      </w:r>
      <w:r>
        <w:t xml:space="preserve"> </w:t>
      </w:r>
      <w:r>
        <w:t xml:space="preserve">(½ for one of the two). (c) 1 point — Because/But/So that links structure to a property; full credit only when</w:t>
      </w:r>
      <w:r>
        <w:t xml:space="preserve"> </w:t>
      </w:r>
      <w:r>
        <w:t xml:space="preserve">“because”</w:t>
      </w:r>
      <w:r>
        <w:t xml:space="preserve"> </w:t>
      </w:r>
      <w:r>
        <w:t xml:space="preserve">names structure and</w:t>
      </w:r>
      <w:r>
        <w:t xml:space="preserve"> </w:t>
      </w:r>
      <w:r>
        <w:t xml:space="preserve">“so”</w:t>
      </w:r>
      <w:r>
        <w:t xml:space="preserve"> </w:t>
      </w:r>
      <w:r>
        <w:t xml:space="preserve">names the property. NYSSLS: HS-PS1-1 (supporting).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 response. Look for:</w:t>
      </w:r>
    </w:p>
    <w:p>
      <w:pPr>
        <w:pStyle w:val="Compact"/>
        <w:numPr>
          <w:ilvl w:val="0"/>
          <w:numId w:val="1004"/>
        </w:numPr>
      </w:pPr>
      <w:r>
        <w:t xml:space="preserve">A specific everyday example the student now believes they could explain through bonding —</w:t>
      </w:r>
      <w:r>
        <w:t xml:space="preserve"> </w:t>
      </w:r>
      <w:r>
        <w:t xml:space="preserve">“I think soap bubbles hold their shape because of how the molecules connect”</w:t>
      </w:r>
      <w:r>
        <w:t xml:space="preserve"> </w:t>
      </w:r>
      <w:r>
        <w:t xml:space="preserve">— rather than a generic</w:t>
      </w:r>
      <w:r>
        <w:t xml:space="preserve"> </w:t>
      </w:r>
      <w:r>
        <w:t xml:space="preserve">“chemistry is cool.”</w:t>
      </w:r>
    </w:p>
    <w:p>
      <w:pPr>
        <w:pStyle w:val="Compact"/>
        <w:numPr>
          <w:ilvl w:val="0"/>
          <w:numId w:val="1004"/>
        </w:numPr>
      </w:pPr>
      <w:r>
        <w:t xml:space="preserve">Naming a peer or a moment from the model-kit build as the thing that helped — this signals the collaborative Explore structure landed.</w:t>
      </w:r>
    </w:p>
    <w:p>
      <w:pPr>
        <w:pStyle w:val="Compact"/>
        <w:numPr>
          <w:ilvl w:val="0"/>
          <w:numId w:val="1004"/>
        </w:numPr>
      </w:pPr>
      <w:r>
        <w:t xml:space="preserve">Any response that explicitly links</w:t>
      </w:r>
      <w:r>
        <w:t xml:space="preserve"> </w:t>
      </w:r>
      <w:r>
        <w:rPr>
          <w:i/>
          <w:iCs/>
        </w:rPr>
        <w:t xml:space="preserve">structure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behavior</w:t>
      </w:r>
      <w:r>
        <w:t xml:space="preserve"> </w:t>
      </w:r>
      <w:r>
        <w:t xml:space="preserve">(Structure and Function) shows the strongest transfer of the day’s CCC.</w:t>
      </w:r>
    </w:p>
    <w:p>
      <w:pPr>
        <w:pStyle w:val="FirstParagraph"/>
      </w:pPr>
      <w:r>
        <w:t xml:space="preserve">If a student writes</w:t>
      </w:r>
      <w:r>
        <w:t xml:space="preserve"> </w:t>
      </w:r>
      <w:r>
        <w:t xml:space="preserve">“nothing — I still don’t get it,”</w:t>
      </w:r>
      <w:r>
        <w:t xml:space="preserve"> </w:t>
      </w:r>
      <w:r>
        <w:t xml:space="preserve">have a brief, low-stakes one-on-one before the next lesson: re-run the CO₂ build (two sticks per oxygen) by hand, since the single-vs-double distinction is the most common sticking point and the foundation for everything in the organic unit ahead.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2026-06-01T19:45:32Z</dcterms:created>
  <dcterms:modified xsi:type="dcterms:W3CDTF">2026-06-01T19:45:32Z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