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ypes-of-chemical-reactions-answer-key"/>
    <w:p>
      <w:pPr>
        <w:pStyle w:val="Heading1"/>
      </w:pPr>
      <w:r>
        <w:t xml:space="preserve">Types of Chemical Reactions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Reactions &amp; Moles — Lesson 03: Types of Chemical Reactions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HS-PS1-2 (use patterns of attraction to predict reaction type; identify reactants/products and formulas)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 Na + Cl₂ → 2 NaCl — Type: synthesis.</w:t>
      </w:r>
      <w:r>
        <w:t xml:space="preserve"> </w:t>
      </w:r>
      <w:r>
        <w:rPr>
          <w:i/>
          <w:iCs/>
        </w:rPr>
        <w:t xml:space="preserve">Pattern:</w:t>
      </w:r>
      <w:r>
        <w:t xml:space="preserve"> </w:t>
      </w:r>
      <w:r>
        <w:t xml:space="preserve">two substances (an element and an element) combine into a single product, A + B → AB. The reactive metal sodium gives up its one valence electron to chlorine, forming the ionic compound sodium chloride.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synthesis AND cites</w:t>
      </w:r>
      <w:r>
        <w:t xml:space="preserve"> </w:t>
      </w:r>
      <w:r>
        <w:t xml:space="preserve">“two combine into one”</w:t>
      </w:r>
      <w:r>
        <w:t xml:space="preserve"> </w:t>
      </w:r>
      <w:r>
        <w:t xml:space="preserve">→ full credit; names synthesis without the pattern reason → partial. · NYSSLS: HS-PS1-2.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 HgO → 2 Hg + O₂ — Type: decomposition.</w:t>
      </w:r>
      <w:r>
        <w:t xml:space="preserve"> </w:t>
      </w:r>
      <w:r>
        <w:rPr>
          <w:i/>
          <w:iCs/>
        </w:rPr>
        <w:t xml:space="preserve">Pattern:</w:t>
      </w:r>
      <w:r>
        <w:t xml:space="preserve"> </w:t>
      </w:r>
      <w:r>
        <w:t xml:space="preserve">a single compound breaks apart into two simpler substances, AB → A + B. One reactant in, two products out, is the giveaway.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decomposition AND cites</w:t>
      </w:r>
      <w:r>
        <w:t xml:space="preserve"> </w:t>
      </w:r>
      <w:r>
        <w:t xml:space="preserve">“one breaks into simpler substances”</w:t>
      </w:r>
      <w:r>
        <w:t xml:space="preserve"> </w:t>
      </w:r>
      <w:r>
        <w:t xml:space="preserve">→ full credit. · NYSSLS: HS-PS1-2.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Mg + 2 AgNO₃ → Mg(NO₃)₂ + 2 Ag — Type: single replacement.</w:t>
      </w:r>
      <w:r>
        <w:t xml:space="preserve"> </w:t>
      </w:r>
      <w:r>
        <w:rPr>
          <w:i/>
          <w:iCs/>
        </w:rPr>
        <w:t xml:space="preserve">Pattern:</w:t>
      </w:r>
      <w:r>
        <w:t xml:space="preserve"> </w:t>
      </w:r>
      <w:r>
        <w:t xml:space="preserve">a free element (Mg) trades places with one element in a compound — magnesium replaces silver, which is set free as a metal. A free element + a compound → one swap.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single replacement AND identifies the free element doing one swap → full credit; says</w:t>
      </w:r>
      <w:r>
        <w:t xml:space="preserve"> </w:t>
      </w:r>
      <w:r>
        <w:t xml:space="preserve">“double replacement”</w:t>
      </w:r>
      <w:r>
        <w:t xml:space="preserve"> </w:t>
      </w:r>
      <w:r>
        <w:t xml:space="preserve">→ no credit (only one swap, and one reactant is a free element). · NYSSLS: HS-PS1-2.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C₃H₈ + 5 O₂ → 3 CO₂ + 4 H₂O — Type: combustion.</w:t>
      </w:r>
      <w:r>
        <w:t xml:space="preserve"> </w:t>
      </w:r>
      <w:r>
        <w:rPr>
          <w:i/>
          <w:iCs/>
        </w:rPr>
        <w:t xml:space="preserve">Pattern:</w:t>
      </w:r>
      <w:r>
        <w:t xml:space="preserve"> </w:t>
      </w:r>
      <w:r>
        <w:t xml:space="preserve">a hydrocarbon fuel (propane) burns in oxygen, producing carbon dioxide and water. The CO₂ + H₂O products are the signature of complete combustion.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combustion AND cites</w:t>
      </w:r>
      <w:r>
        <w:t xml:space="preserve"> </w:t>
      </w:r>
      <w:r>
        <w:t xml:space="preserve">“fuel + O₂ → CO₂ + water”</w:t>
      </w:r>
      <w:r>
        <w:t xml:space="preserve"> </w:t>
      </w:r>
      <w:r>
        <w:t xml:space="preserve">→ full credit. · NYSSLS: HS-PS1-2.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Predict the products — Pb(NO₃)₂ + 2 KI → PbI₂ + 2 KNO₃.</w:t>
      </w:r>
      <w:r>
        <w:t xml:space="preserve"> </w:t>
      </w:r>
      <w:r>
        <w:t xml:space="preserve">Swap partners: Pb²⁺ pairs with I⁻ to give</w:t>
      </w:r>
      <w:r>
        <w:t xml:space="preserve"> </w:t>
      </w:r>
      <w:r>
        <w:rPr>
          <w:b/>
          <w:bCs/>
        </w:rPr>
        <w:t xml:space="preserve">PbI₂</w:t>
      </w:r>
      <w:r>
        <w:t xml:space="preserve">; K⁺ pairs with NO₃⁻ to give KNO₃.</w:t>
      </w:r>
      <w:r>
        <w:t xml:space="preserve"> </w:t>
      </w:r>
      <w:r>
        <w:rPr>
          <w:b/>
          <w:bCs/>
        </w:rPr>
        <w:t xml:space="preserve">The solid (precipitate) is PbI₂</w:t>
      </w:r>
      <w:r>
        <w:t xml:space="preserve"> </w:t>
      </w:r>
      <w:r>
        <w:t xml:space="preserve">— lead(II) iodide, a bright yellow solid that does not stay dissolved. (KNO₃ stays in solution.)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partner-swap products → full credit; identifying PbI₂ as the precipitate → bonus point; if a student also balances it correctly, accept and praise. Accept the unbalanced product identities (PbI₂ + KNO₃) for full credit since balancing was not required. · NYSSLS: HS-PS1-2.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2 Al + 3 CuCl₂ → 2 AlCl₃ + 3 Cu — single replacement.</w:t>
      </w:r>
      <w:r>
        <w:t xml:space="preserve"> </w:t>
      </w:r>
      <w:r>
        <w:t xml:space="preserve">A free element (aluminum) trades places with one element in a compound (it replaces copper, which is set free as a metal). The tell: one reactant is a</w:t>
      </w:r>
      <w:r>
        <w:t xml:space="preserve"> </w:t>
      </w:r>
      <w:r>
        <w:rPr>
          <w:i/>
          <w:iCs/>
        </w:rPr>
        <w:t xml:space="preserve">free element</w:t>
      </w:r>
      <w:r>
        <w:t xml:space="preserve"> </w:t>
      </w:r>
      <w:r>
        <w:t xml:space="preserve">and one is a</w:t>
      </w:r>
      <w:r>
        <w:t xml:space="preserve"> </w:t>
      </w:r>
      <w:r>
        <w:rPr>
          <w:i/>
          <w:iCs/>
        </w:rPr>
        <w:t xml:space="preserve">compound</w:t>
      </w:r>
      <w:r>
        <w:t xml:space="preserve">, and only one swap occurs.</w:t>
      </w:r>
      <w:r>
        <w:t xml:space="preserve"> </w:t>
      </w:r>
      <w:r>
        <w:rPr>
          <w:i/>
          <w:iCs/>
        </w:rPr>
        <w:t xml:space="preserve">Patterns of attraction note (PS1-2):</w:t>
      </w:r>
      <w:r>
        <w:t xml:space="preserve"> </w:t>
      </w:r>
      <w:r>
        <w:t xml:space="preserve">aluminum is the more reactive metal and gives up its three valence electrons, displacing the less reactive copper.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2 KClO₃ → 2 KCl + 3 O₂ — decomposition.</w:t>
      </w:r>
      <w:r>
        <w:t xml:space="preserve"> </w:t>
      </w:r>
      <w:r>
        <w:t xml:space="preserve">A single compound (potassium chlorate) breaks apart into two simpler substances (potassium chloride and oxygen gas). One reactant in, two products out, AB → A + B, is the pattern.</w:t>
      </w:r>
    </w:p>
    <w:p>
      <w:pPr>
        <w:numPr>
          <w:ilvl w:val="0"/>
          <w:numId w:val="1002"/>
        </w:numPr>
      </w:pPr>
      <w:r>
        <w:t xml:space="preserve">Sample full-credit response:</w:t>
      </w:r>
      <w:r>
        <w:t xml:space="preserve"> </w:t>
      </w:r>
      <w:r>
        <w:rPr>
          <w:i/>
          <w:iCs/>
        </w:rPr>
        <w:t xml:space="preserve">“Both pairs follow the same double-replacement pattern and swap partners, but silver chloride (from Cup 1) cannot stay dissolved so it appears as a white solid, while every product in Cup 2 stays dissolved — so the same pattern gives a visible reaction in one cup and no visible change in the other.”</w:t>
      </w:r>
      <w:r>
        <w:t xml:space="preserve"> </w:t>
      </w:r>
      <w:r>
        <w:t xml:space="preserve">Any response that names the shared double-replacement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and explains that one cup’s product is insoluble (a precipitate) earns full credit. The atoms are rearranged in both cups; only the solubility of the products differs.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 point for</w:t>
      </w:r>
      <w:r>
        <w:t xml:space="preserve"> </w:t>
      </w:r>
      <w:r>
        <w:t xml:space="preserve">“single replacement,”</w:t>
      </w:r>
      <w:r>
        <w:t xml:space="preserve"> </w:t>
      </w:r>
      <w:r>
        <w:t xml:space="preserve">1 point for citing the free-element + one-swap pattern — 2 points; partial credit for the correct type without the reason. (b) 1 point for</w:t>
      </w:r>
      <w:r>
        <w:t xml:space="preserve"> </w:t>
      </w:r>
      <w:r>
        <w:t xml:space="preserve">“decomposition,”</w:t>
      </w:r>
      <w:r>
        <w:t xml:space="preserve"> </w:t>
      </w:r>
      <w:r>
        <w:t xml:space="preserve">1 point for citing the one-reactant-breaks-into-two pattern — 2 points. (c) up to 2 points: 1 for naming the shared (double-replacement) pattern, 1 for explaining that only Cup 1’s product is insoluble. Do not deduct for spelling. NYSSLS: HS-PS1-2.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 response. Look for:</w:t>
      </w:r>
    </w:p>
    <w:p>
      <w:pPr>
        <w:pStyle w:val="Compact"/>
        <w:numPr>
          <w:ilvl w:val="0"/>
          <w:numId w:val="1003"/>
        </w:numPr>
      </w:pPr>
      <w:r>
        <w:t xml:space="preserve">A specific, transferable pattern the student can now spot —</w:t>
      </w:r>
      <w:r>
        <w:t xml:space="preserve"> </w:t>
      </w:r>
      <w:r>
        <w:t xml:space="preserve">“I can tell single replacement because one reactant is a free element and one is a compound”</w:t>
      </w:r>
      <w:r>
        <w:t xml:space="preserve"> </w:t>
      </w:r>
      <w:r>
        <w:t xml:space="preserve">— rather than a memorized single example.</w:t>
      </w:r>
    </w:p>
    <w:p>
      <w:pPr>
        <w:pStyle w:val="Compact"/>
        <w:numPr>
          <w:ilvl w:val="0"/>
          <w:numId w:val="1003"/>
        </w:numPr>
      </w:pPr>
      <w:r>
        <w:t xml:space="preserve">Naming a specific groupmate, a station, or the gallery walk as the thing that helped them see a pattern — this signals the BTC collaborative structure landed.</w:t>
      </w:r>
    </w:p>
    <w:p>
      <w:pPr>
        <w:pStyle w:val="Compact"/>
        <w:numPr>
          <w:ilvl w:val="0"/>
          <w:numId w:val="1003"/>
        </w:numPr>
      </w:pPr>
      <w:r>
        <w:t xml:space="preserve">Any response that connects back to the opening-circle instant-change examples (bleach on a stain, vinegar and baking soda) shows the strongest transfer from everyday experience to formal classification.</w:t>
      </w:r>
    </w:p>
    <w:p>
      <w:pPr>
        <w:pStyle w:val="FirstParagraph"/>
      </w:pPr>
      <w:r>
        <w:t xml:space="preserve">If a student writes</w:t>
      </w:r>
      <w:r>
        <w:t xml:space="preserve"> </w:t>
      </w:r>
      <w:r>
        <w:t xml:space="preserve">“I still can’t tell the reaction types apart,”</w:t>
      </w:r>
      <w:r>
        <w:t xml:space="preserve"> </w:t>
      </w:r>
      <w:r>
        <w:t xml:space="preserve">flag them for the start of the next lesson — focus the one-on-one on the single-vs-double-replacement distinction (count the swaps), which is the most common stumbling block.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2026-06-01T19:45:36Z</dcterms:created>
  <dcterms:modified xsi:type="dcterms:W3CDTF">2026-06-01T19:45:36Z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