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lassifying-solutions-answer-key"/>
    <w:p>
      <w:pPr>
        <w:pStyle w:val="Heading1"/>
      </w:pPr>
      <w:r>
        <w:t xml:space="preserve">Classifying Solutions — Answer Key</w:t>
      </w:r>
    </w:p>
    <w:bookmarkStart w:id="9" w:name="cover"/>
    <w:p>
      <w:pPr>
        <w:pStyle w:val="Heading2"/>
      </w:pPr>
      <w:r>
        <w:t xml:space="preserve">Cover</w:t>
      </w:r>
    </w:p>
    <w:p>
      <w:pPr>
        <w:pStyle w:val="FirstParagraph"/>
      </w:pPr>
      <w:r>
        <w:t xml:space="preserve">Unit: Solutions — Lesson 01: Classifying Solutions</w:t>
      </w:r>
      <w:r>
        <w:t xml:space="preserve"> </w:t>
      </w:r>
      <w:r>
        <w:t xml:space="preserve">East Meadow Schools × Valley Stream Central High School District</w:t>
      </w:r>
      <w:r>
        <w:t xml:space="preserve"> </w:t>
      </w:r>
      <w:r>
        <w:t xml:space="preserve">NYSSLS tag: PS1-10</w:t>
      </w:r>
    </w:p>
    <w:bookmarkEnd w:id="9"/>
    <w:bookmarkStart w:id="10" w:name="make-it-make-sense-answers"/>
    <w:p>
      <w:pPr>
        <w:pStyle w:val="Heading2"/>
      </w:pPr>
      <w:r>
        <w:t xml:space="preserve">Make-It-Make-Sense Answers</w:t>
      </w:r>
    </w:p>
    <w:p>
      <w:pPr>
        <w:pStyle w:val="FirstParagraph"/>
      </w:pPr>
      <w:r>
        <w:rPr>
          <w:b/>
          <w:bCs/>
        </w:rPr>
        <w:t xml:space="preserve">1. Salt keeps dissolving with no solid left behind.</w:t>
      </w:r>
    </w:p>
    <w:p>
      <w:pPr>
        <w:pStyle w:val="Compact"/>
        <w:numPr>
          <w:ilvl w:val="0"/>
          <w:numId w:val="1001"/>
        </w:numPr>
      </w:pPr>
      <w:r>
        <w:rPr>
          <w:b/>
          <w:bCs/>
        </w:rPr>
        <w:t xml:space="preserve">Classification:</w:t>
      </w:r>
      <w:r>
        <w:t xml:space="preserve"> </w:t>
      </w:r>
      <w:r>
        <w:t xml:space="preserve">unsaturated.</w:t>
      </w:r>
    </w:p>
    <w:p>
      <w:pPr>
        <w:pStyle w:val="Compact"/>
        <w:numPr>
          <w:ilvl w:val="0"/>
          <w:numId w:val="1001"/>
        </w:numPr>
      </w:pPr>
      <w:r>
        <w:rPr>
          <w:b/>
          <w:bCs/>
        </w:rPr>
        <w:t xml:space="preserve">Evidence:</w:t>
      </w:r>
      <w:r>
        <w:t xml:space="preserve"> </w:t>
      </w:r>
      <w:r>
        <w:t xml:space="preserve">more solute continues to dissolve when added, and no undissolved solid remains — the solvent still has room below its saturation limit.</w:t>
      </w:r>
    </w:p>
    <w:p>
      <w:pPr>
        <w:pStyle w:val="Compact"/>
        <w:numPr>
          <w:ilvl w:val="0"/>
          <w:numId w:val="1001"/>
        </w:numPr>
      </w:pPr>
      <w:r>
        <w:rPr>
          <w:i/>
          <w:iCs/>
        </w:rPr>
        <w:t xml:space="preserve">Rubric:</w:t>
      </w:r>
      <w:r>
        <w:t xml:space="preserve"> </w:t>
      </w:r>
      <w:r>
        <w:t xml:space="preserve">1 point for</w:t>
      </w:r>
      <w:r>
        <w:t xml:space="preserve"> </w:t>
      </w:r>
      <w:r>
        <w:t xml:space="preserve">“unsaturated”</w:t>
      </w:r>
      <w:r>
        <w:t xml:space="preserve">; 1 point for citing that more dissolves / no solid remains as the evidence. NYSSLS: PS1-10.</w:t>
      </w:r>
    </w:p>
    <w:p>
      <w:pPr>
        <w:pStyle w:val="FirstParagraph"/>
      </w:pPr>
      <w:r>
        <w:rPr>
          <w:b/>
          <w:bCs/>
        </w:rPr>
        <w:t xml:space="preserve">2. The last spoons of sugar will not dissolve; a layer sits on the bottom after long stirring.</w:t>
      </w:r>
    </w:p>
    <w:p>
      <w:pPr>
        <w:pStyle w:val="Compact"/>
        <w:numPr>
          <w:ilvl w:val="0"/>
          <w:numId w:val="1002"/>
        </w:numPr>
      </w:pPr>
      <w:r>
        <w:rPr>
          <w:b/>
          <w:bCs/>
        </w:rPr>
        <w:t xml:space="preserve">Classification:</w:t>
      </w:r>
      <w:r>
        <w:t xml:space="preserve"> </w:t>
      </w:r>
      <w:r>
        <w:t xml:space="preserve">saturated.</w:t>
      </w:r>
    </w:p>
    <w:p>
      <w:pPr>
        <w:pStyle w:val="Compact"/>
        <w:numPr>
          <w:ilvl w:val="0"/>
          <w:numId w:val="1002"/>
        </w:numPr>
      </w:pPr>
      <w:r>
        <w:rPr>
          <w:b/>
          <w:bCs/>
        </w:rPr>
        <w:t xml:space="preserve">Evidence:</w:t>
      </w:r>
      <w:r>
        <w:t xml:space="preserve"> </w:t>
      </w:r>
      <w:r>
        <w:t xml:space="preserve">undissolved solute remains on the bottom even after extended stirring — the solvent is holding the maximum amount it can at that temperature, so additional solute cannot dissolve.</w:t>
      </w:r>
    </w:p>
    <w:p>
      <w:pPr>
        <w:pStyle w:val="Compact"/>
        <w:numPr>
          <w:ilvl w:val="0"/>
          <w:numId w:val="1002"/>
        </w:numPr>
      </w:pPr>
      <w:r>
        <w:rPr>
          <w:i/>
          <w:iCs/>
        </w:rPr>
        <w:t xml:space="preserve">Rubric:</w:t>
      </w:r>
      <w:r>
        <w:t xml:space="preserve"> </w:t>
      </w:r>
      <w:r>
        <w:t xml:space="preserve">1 point for</w:t>
      </w:r>
      <w:r>
        <w:t xml:space="preserve"> </w:t>
      </w:r>
      <w:r>
        <w:t xml:space="preserve">“saturated”</w:t>
      </w:r>
      <w:r>
        <w:t xml:space="preserve">; 1 point for naming the undissolved-solid-after-stirring evidence (full / at the limit). A student who answers</w:t>
      </w:r>
      <w:r>
        <w:t xml:space="preserve"> </w:t>
      </w:r>
      <w:r>
        <w:t xml:space="preserve">“supersaturated”</w:t>
      </w:r>
      <w:r>
        <w:t xml:space="preserve"> </w:t>
      </w:r>
      <w:r>
        <w:t xml:space="preserve">has confused full with overfull — note the distinction: supersaturation requires holding</w:t>
      </w:r>
      <w:r>
        <w:t xml:space="preserve"> </w:t>
      </w:r>
      <w:r>
        <w:rPr>
          <w:i/>
          <w:iCs/>
        </w:rPr>
        <w:t xml:space="preserve">more</w:t>
      </w:r>
      <w:r>
        <w:t xml:space="preserve"> </w:t>
      </w:r>
      <w:r>
        <w:t xml:space="preserve">than the limit, not leftover solid. NYSSLS: PS1-10.</w:t>
      </w:r>
    </w:p>
    <w:p>
      <w:pPr>
        <w:pStyle w:val="FirstParagraph"/>
      </w:pPr>
      <w:r>
        <w:rPr>
          <w:b/>
          <w:bCs/>
        </w:rPr>
        <w:t xml:space="preserve">3. A clear solution turns to solid the instant a seed crystal is added.</w:t>
      </w:r>
    </w:p>
    <w:p>
      <w:pPr>
        <w:pStyle w:val="Compact"/>
        <w:numPr>
          <w:ilvl w:val="0"/>
          <w:numId w:val="1003"/>
        </w:numPr>
      </w:pPr>
      <w:r>
        <w:rPr>
          <w:b/>
          <w:bCs/>
        </w:rPr>
        <w:t xml:space="preserve">Classification:</w:t>
      </w:r>
      <w:r>
        <w:t xml:space="preserve"> </w:t>
      </w:r>
      <w:r>
        <w:t xml:space="preserve">supersaturated.</w:t>
      </w:r>
    </w:p>
    <w:p>
      <w:pPr>
        <w:pStyle w:val="Compact"/>
        <w:numPr>
          <w:ilvl w:val="0"/>
          <w:numId w:val="1003"/>
        </w:numPr>
      </w:pPr>
      <w:r>
        <w:rPr>
          <w:b/>
          <w:bCs/>
        </w:rPr>
        <w:t xml:space="preserve">Evidence:</w:t>
      </w:r>
      <w:r>
        <w:t xml:space="preserve"> </w:t>
      </w:r>
      <w:r>
        <w:t xml:space="preserve">the solution was clear (no undissolved solid) yet crystallized rapidly when disturbed by the seed — it was holding</w:t>
      </w:r>
      <w:r>
        <w:t xml:space="preserve"> </w:t>
      </w:r>
      <w:r>
        <w:rPr>
          <w:i/>
          <w:iCs/>
        </w:rPr>
        <w:t xml:space="preserve">more</w:t>
      </w:r>
      <w:r>
        <w:t xml:space="preserve"> </w:t>
      </w:r>
      <w:r>
        <w:t xml:space="preserve">solute than the saturation limit, an unstable state, so the excess crashed out the moment the balance was disturbed.</w:t>
      </w:r>
    </w:p>
    <w:p>
      <w:pPr>
        <w:pStyle w:val="Compact"/>
        <w:numPr>
          <w:ilvl w:val="0"/>
          <w:numId w:val="1003"/>
        </w:numPr>
      </w:pPr>
      <w:r>
        <w:rPr>
          <w:i/>
          <w:iCs/>
        </w:rPr>
        <w:t xml:space="preserve">Rubric:</w:t>
      </w:r>
      <w:r>
        <w:t xml:space="preserve"> </w:t>
      </w:r>
      <w:r>
        <w:t xml:space="preserve">1 point for</w:t>
      </w:r>
      <w:r>
        <w:t xml:space="preserve"> </w:t>
      </w:r>
      <w:r>
        <w:t xml:space="preserve">“supersaturated”</w:t>
      </w:r>
      <w:r>
        <w:t xml:space="preserve">; 1 point for explaining that it held more than the limit and the excess crystallized when disturbed. This is the sodium acetate</w:t>
      </w:r>
      <w:r>
        <w:t xml:space="preserve"> </w:t>
      </w:r>
      <w:r>
        <w:t xml:space="preserve">“hot ice”</w:t>
      </w:r>
      <w:r>
        <w:t xml:space="preserve"> </w:t>
      </w:r>
      <w:r>
        <w:t xml:space="preserve">demo. NYSSLS: PS1-10.</w:t>
      </w:r>
    </w:p>
    <w:p>
      <w:pPr>
        <w:pStyle w:val="FirstParagraph"/>
      </w:pPr>
      <w:r>
        <w:rPr>
          <w:b/>
          <w:bCs/>
        </w:rPr>
        <w:t xml:space="preserve">4. 100 g water at 40 °C with 64 g KNO₃ dissolved.</w:t>
      </w:r>
    </w:p>
    <w:p>
      <w:pPr>
        <w:pStyle w:val="Compact"/>
        <w:numPr>
          <w:ilvl w:val="0"/>
          <w:numId w:val="1004"/>
        </w:numPr>
      </w:pPr>
      <w:r>
        <w:rPr>
          <w:b/>
          <w:bCs/>
        </w:rPr>
        <w:t xml:space="preserve">Classification:</w:t>
      </w:r>
      <w:r>
        <w:t xml:space="preserve"> </w:t>
      </w:r>
      <w:r>
        <w:t xml:space="preserve">saturated.</w:t>
      </w:r>
    </w:p>
    <w:p>
      <w:pPr>
        <w:pStyle w:val="Compact"/>
        <w:numPr>
          <w:ilvl w:val="0"/>
          <w:numId w:val="1004"/>
        </w:numPr>
      </w:pPr>
      <w:r>
        <w:rPr>
          <w:b/>
          <w:bCs/>
        </w:rPr>
        <w:t xml:space="preserve">Reasoning:</w:t>
      </w:r>
      <w:r>
        <w:t xml:space="preserve"> </w:t>
      </w:r>
      <w:r>
        <w:t xml:space="preserve">from the solubility curve, the maximum KNO₃ that dissolves in 100 g of water at 40 °C is about</w:t>
      </w:r>
      <w:r>
        <w:t xml:space="preserve"> </w:t>
      </w:r>
      <w:r>
        <w:rPr>
          <w:b/>
          <w:bCs/>
        </w:rPr>
        <w:t xml:space="preserve">64 g</w:t>
      </w:r>
      <w:r>
        <w:t xml:space="preserve">. The beaker holds exactly 64 g dissolved, so it sits right on the curve — it is holding the maximum and is therefore saturated (any additional KNO₃ would not dissolve).</w:t>
      </w:r>
    </w:p>
    <w:p>
      <w:pPr>
        <w:pStyle w:val="Compact"/>
        <w:numPr>
          <w:ilvl w:val="0"/>
          <w:numId w:val="1004"/>
        </w:numPr>
      </w:pPr>
      <w:r>
        <w:rPr>
          <w:i/>
          <w:iCs/>
        </w:rPr>
        <w:t xml:space="preserve">Rubric:</w:t>
      </w:r>
      <w:r>
        <w:t xml:space="preserve"> </w:t>
      </w:r>
      <w:r>
        <w:t xml:space="preserve">1 point for</w:t>
      </w:r>
      <w:r>
        <w:t xml:space="preserve"> </w:t>
      </w:r>
      <w:r>
        <w:t xml:space="preserve">“saturated”</w:t>
      </w:r>
      <w:r>
        <w:t xml:space="preserve">; 1 point for comparing the 64 g dissolved to the ≈64 g curve value at 40 °C. Accept</w:t>
      </w:r>
      <w:r>
        <w:t xml:space="preserve"> </w:t>
      </w:r>
      <w:r>
        <w:t xml:space="preserve">“exactly saturated”</w:t>
      </w:r>
      <w:r>
        <w:t xml:space="preserve"> </w:t>
      </w:r>
      <w:r>
        <w:t xml:space="preserve">or</w:t>
      </w:r>
      <w:r>
        <w:t xml:space="preserve"> </w:t>
      </w:r>
      <w:r>
        <w:t xml:space="preserve">“at the saturation point.”</w:t>
      </w:r>
      <w:r>
        <w:t xml:space="preserve"> </w:t>
      </w:r>
      <w:r>
        <w:t xml:space="preserve">A student who reads the curve value as well below 64 (e.g., misreads the axis) and concludes</w:t>
      </w:r>
      <w:r>
        <w:t xml:space="preserve"> </w:t>
      </w:r>
      <w:r>
        <w:t xml:space="preserve">“supersaturated”</w:t>
      </w:r>
      <w:r>
        <w:t xml:space="preserve"> </w:t>
      </w:r>
      <w:r>
        <w:t xml:space="preserve">should receive partial credit for correct method with a misread value. NYSSLS: PS1-10.</w:t>
      </w:r>
    </w:p>
    <w:bookmarkEnd w:id="10"/>
    <w:bookmarkStart w:id="11" w:name="exit-ticket-answer"/>
    <w:p>
      <w:pPr>
        <w:pStyle w:val="Heading2"/>
      </w:pPr>
      <w:r>
        <w:t xml:space="preserve">Exit Ticket Answer</w:t>
      </w:r>
    </w:p>
    <w:p>
      <w:pPr>
        <w:pStyle w:val="FirstParagraph"/>
      </w:pPr>
      <w:r>
        <w:rPr>
          <w:b/>
          <w:bCs/>
        </w:rPr>
        <w:t xml:space="preserve">(a) Sea water in the sun; salt crystals begin forming as water evaporates.</w:t>
      </w:r>
    </w:p>
    <w:p>
      <w:pPr>
        <w:pStyle w:val="Compact"/>
        <w:numPr>
          <w:ilvl w:val="0"/>
          <w:numId w:val="1005"/>
        </w:numPr>
      </w:pPr>
      <w:r>
        <w:rPr>
          <w:b/>
          <w:bCs/>
        </w:rPr>
        <w:t xml:space="preserve">Classification:</w:t>
      </w:r>
      <w:r>
        <w:t xml:space="preserve"> </w:t>
      </w:r>
      <w:r>
        <w:t xml:space="preserve">saturated.</w:t>
      </w:r>
    </w:p>
    <w:p>
      <w:pPr>
        <w:pStyle w:val="Compact"/>
        <w:numPr>
          <w:ilvl w:val="0"/>
          <w:numId w:val="1005"/>
        </w:numPr>
      </w:pPr>
      <w:r>
        <w:rPr>
          <w:b/>
          <w:bCs/>
        </w:rPr>
        <w:t xml:space="preserve">Evidence:</w:t>
      </w:r>
      <w:r>
        <w:t xml:space="preserve"> </w:t>
      </w:r>
      <w:r>
        <w:t xml:space="preserve">as the water (solvent) evaporates, the amount of solvent decreases while the salt stays behind, so the solution reaches its saturation limit; the moment crystals begin to form, the solution is full — it can hold no more dissolved salt, and the excess comes out as solid. The appearance of crystals is the evidence that the saturation limit has been reached.</w:t>
      </w:r>
    </w:p>
    <w:p>
      <w:pPr>
        <w:pStyle w:val="Compact"/>
        <w:numPr>
          <w:ilvl w:val="0"/>
          <w:numId w:val="1005"/>
        </w:numPr>
      </w:pPr>
      <w:r>
        <w:rPr>
          <w:i/>
          <w:iCs/>
        </w:rPr>
        <w:t xml:space="preserve">Rubric:</w:t>
      </w:r>
      <w:r>
        <w:t xml:space="preserve"> </w:t>
      </w:r>
      <w:r>
        <w:t xml:space="preserve">2 points — 1 for</w:t>
      </w:r>
      <w:r>
        <w:t xml:space="preserve"> </w:t>
      </w:r>
      <w:r>
        <w:t xml:space="preserve">“saturated,”</w:t>
      </w:r>
      <w:r>
        <w:t xml:space="preserve"> </w:t>
      </w:r>
      <w:r>
        <w:t xml:space="preserve">1 for explaining that evaporation reduced the solvent until the solution hit its limit and excess salt crystallized out. Accept responses noting the solution becomes saturated</w:t>
      </w:r>
      <w:r>
        <w:t xml:space="preserve"> </w:t>
      </w:r>
      <w:r>
        <w:rPr>
          <w:i/>
          <w:iCs/>
        </w:rPr>
        <w:t xml:space="preserve">and then</w:t>
      </w:r>
      <w:r>
        <w:t xml:space="preserve"> </w:t>
      </w:r>
      <w:r>
        <w:t xml:space="preserve">begins depositing excess; do not require the word</w:t>
      </w:r>
      <w:r>
        <w:t xml:space="preserve"> </w:t>
      </w:r>
      <w:r>
        <w:t xml:space="preserve">“supersaturated.”</w:t>
      </w:r>
      <w:r>
        <w:t xml:space="preserve"> </w:t>
      </w:r>
      <w:r>
        <w:t xml:space="preserve">NYSSLS: PS1-10.</w:t>
      </w:r>
    </w:p>
    <w:p>
      <w:pPr>
        <w:pStyle w:val="FirstParagraph"/>
      </w:pPr>
      <w:r>
        <w:rPr>
          <w:b/>
          <w:bCs/>
        </w:rPr>
        <w:t xml:space="preserve">(b) Rubbing alcohol = isopropanol dissolved in water.</w:t>
      </w:r>
    </w:p>
    <w:p>
      <w:pPr>
        <w:pStyle w:val="Compact"/>
        <w:numPr>
          <w:ilvl w:val="0"/>
          <w:numId w:val="1006"/>
        </w:numPr>
      </w:pPr>
      <w:r>
        <w:rPr>
          <w:b/>
          <w:bCs/>
        </w:rPr>
        <w:t xml:space="preserve">Solute:</w:t>
      </w:r>
      <w:r>
        <w:t xml:space="preserve"> </w:t>
      </w:r>
      <w:r>
        <w:t xml:space="preserve">isopropanol (the substance being dissolved).</w:t>
      </w:r>
      <w:r>
        <w:t xml:space="preserve"> </w:t>
      </w:r>
      <w:r>
        <w:rPr>
          <w:b/>
          <w:bCs/>
        </w:rPr>
        <w:t xml:space="preserve">Solvent:</w:t>
      </w:r>
      <w:r>
        <w:t xml:space="preserve"> </w:t>
      </w:r>
      <w:r>
        <w:t xml:space="preserve">water (the substance doing the dissolving).</w:t>
      </w:r>
      <w:r>
        <w:t xml:space="preserve"> </w:t>
      </w:r>
      <w:r>
        <w:rPr>
          <w:b/>
          <w:bCs/>
        </w:rPr>
        <w:t xml:space="preserve">Aqueous?</w:t>
      </w:r>
      <w:r>
        <w:t xml:space="preserve"> </w:t>
      </w:r>
      <w:r>
        <w:t xml:space="preserve">Yes — water is the solvent, so the solution is aqueous.</w:t>
      </w:r>
    </w:p>
    <w:p>
      <w:pPr>
        <w:pStyle w:val="Compact"/>
        <w:numPr>
          <w:ilvl w:val="0"/>
          <w:numId w:val="1006"/>
        </w:numPr>
      </w:pPr>
      <w:r>
        <w:rPr>
          <w:i/>
          <w:iCs/>
        </w:rPr>
        <w:t xml:space="preserve">Rubric:</w:t>
      </w:r>
      <w:r>
        <w:t xml:space="preserve"> </w:t>
      </w:r>
      <w:r>
        <w:t xml:space="preserve">1 point for correctly identifying solute (isopropanol) and solvent (water); 1 point for</w:t>
      </w:r>
      <w:r>
        <w:t xml:space="preserve"> </w:t>
      </w:r>
      <w:r>
        <w:t xml:space="preserve">“yes, aqueous”</w:t>
      </w:r>
      <w:r>
        <w:t xml:space="preserve"> </w:t>
      </w:r>
      <w:r>
        <w:t xml:space="preserve">with the reason that water is the solvent. Note: commercial rubbing alcohol is typically ~70% isopropanol; for this item either component may be described as the larger amount, but the question defines isopropanol as the solute dissolved</w:t>
      </w:r>
      <w:r>
        <w:t xml:space="preserve"> </w:t>
      </w:r>
      <w:r>
        <w:rPr>
          <w:i/>
          <w:iCs/>
        </w:rPr>
        <w:t xml:space="preserve">in</w:t>
      </w:r>
      <w:r>
        <w:t xml:space="preserve"> </w:t>
      </w:r>
      <w:r>
        <w:t xml:space="preserve">water, so water is the solvent — accept answers consistent with that framing. NYSSLS: PS1-10.</w:t>
      </w:r>
    </w:p>
    <w:p>
      <w:pPr>
        <w:pStyle w:val="FirstParagraph"/>
      </w:pPr>
      <w:r>
        <w:rPr>
          <w:b/>
          <w:bCs/>
        </w:rPr>
        <w:t xml:space="preserve">(c) Crystallized honey turns clear and runny when warmed.</w:t>
      </w:r>
    </w:p>
    <w:p>
      <w:pPr>
        <w:pStyle w:val="Compact"/>
        <w:numPr>
          <w:ilvl w:val="0"/>
          <w:numId w:val="1007"/>
        </w:numPr>
      </w:pPr>
      <w:r>
        <w:rPr>
          <w:i/>
          <w:iCs/>
        </w:rPr>
        <w:t xml:space="preserve">Full-credit model answer:</w:t>
      </w:r>
      <w:r>
        <w:t xml:space="preserve"> </w:t>
      </w:r>
      <w:r>
        <w:t xml:space="preserve">“Warming raises the saturation limit of the solvent, so the once-saturated solution becomes able to hold more solute, and the crystallized sugar redissolves.”</w:t>
      </w:r>
      <w:r>
        <w:t xml:space="preserve"> </w:t>
      </w:r>
      <w:r>
        <w:t xml:space="preserve">Any sentence that uses</w:t>
      </w:r>
      <w:r>
        <w:t xml:space="preserve"> </w:t>
      </w:r>
      <w:r>
        <w:rPr>
          <w:i/>
          <w:iCs/>
        </w:rPr>
        <w:t xml:space="preserve">solvent</w:t>
      </w:r>
      <w:r>
        <w:t xml:space="preserve"> </w:t>
      </w:r>
      <w:r>
        <w:t xml:space="preserve">and</w:t>
      </w:r>
      <w:r>
        <w:t xml:space="preserve"> </w:t>
      </w:r>
      <w:r>
        <w:rPr>
          <w:i/>
          <w:iCs/>
        </w:rPr>
        <w:t xml:space="preserve">saturated</w:t>
      </w:r>
      <w:r>
        <w:t xml:space="preserve"> </w:t>
      </w:r>
      <w:r>
        <w:t xml:space="preserve">and conveys that heating raises the amount the solvent can hold (so the solid redissolves) earns full credit.</w:t>
      </w:r>
    </w:p>
    <w:p>
      <w:pPr>
        <w:pStyle w:val="Compact"/>
        <w:numPr>
          <w:ilvl w:val="0"/>
          <w:numId w:val="1007"/>
        </w:numPr>
      </w:pPr>
      <w:r>
        <w:rPr>
          <w:i/>
          <w:iCs/>
        </w:rPr>
        <w:t xml:space="preserve">Acceptable variations:</w:t>
      </w:r>
      <w:r>
        <w:t xml:space="preserve"> </w:t>
      </w:r>
      <w:r>
        <w:t xml:space="preserve">responses noting that the cold honey was saturated (excess sugar had crystallized out) and that warming the solvent raised the limit so the crystals dissolved back in. Responses that only say</w:t>
      </w:r>
      <w:r>
        <w:t xml:space="preserve"> </w:t>
      </w:r>
      <w:r>
        <w:t xml:space="preserve">“heat dissolves it”</w:t>
      </w:r>
      <w:r>
        <w:t xml:space="preserve"> </w:t>
      </w:r>
      <w:r>
        <w:t xml:space="preserve">without referencing the solvent’s increased capacity / saturation limit earn partial credit.</w:t>
      </w:r>
    </w:p>
    <w:p>
      <w:pPr>
        <w:pStyle w:val="Compact"/>
        <w:numPr>
          <w:ilvl w:val="0"/>
          <w:numId w:val="1007"/>
        </w:numPr>
      </w:pPr>
      <w:r>
        <w:rPr>
          <w:i/>
          <w:iCs/>
        </w:rPr>
        <w:t xml:space="preserve">Rubric:</w:t>
      </w:r>
      <w:r>
        <w:t xml:space="preserve"> </w:t>
      </w:r>
      <w:r>
        <w:t xml:space="preserve">2 points — 1 point for correct use of</w:t>
      </w:r>
      <w:r>
        <w:t xml:space="preserve"> </w:t>
      </w:r>
      <w:r>
        <w:rPr>
          <w:i/>
          <w:iCs/>
        </w:rPr>
        <w:t xml:space="preserve">solvent</w:t>
      </w:r>
      <w:r>
        <w:t xml:space="preserve"> </w:t>
      </w:r>
      <w:r>
        <w:t xml:space="preserve">and</w:t>
      </w:r>
      <w:r>
        <w:t xml:space="preserve"> </w:t>
      </w:r>
      <w:r>
        <w:rPr>
          <w:i/>
          <w:iCs/>
        </w:rPr>
        <w:t xml:space="preserve">saturated</w:t>
      </w:r>
      <w:r>
        <w:t xml:space="preserve">; 1 point for the logic that warming raises the saturation limit so the crystallized solute redissolves. NYSSLS: PS1-10.</w:t>
      </w:r>
    </w:p>
    <w:p>
      <w:pPr>
        <w:pStyle w:val="FirstParagraph"/>
      </w:pPr>
      <w:r>
        <w:rPr>
          <w:i/>
          <w:iCs/>
        </w:rPr>
        <w:t xml:space="preserve">Tolerance/rubric note:</w:t>
      </w:r>
      <w:r>
        <w:t xml:space="preserve"> </w:t>
      </w:r>
      <w:r>
        <w:t xml:space="preserve">These Exit Ticket substances (sea water, rubbing alcohol, honey) are deliberately distinct from the worksheet practice (table salt, sugar in iced tea, KNO₃ on the curve) so the Exit Ticket tests transfer rather than recall.</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8"/>
        </w:numPr>
      </w:pPr>
      <w:r>
        <w:t xml:space="preserve">A specific everyday observation the student will now read differently —</w:t>
      </w:r>
      <w:r>
        <w:t xml:space="preserve"> </w:t>
      </w:r>
      <w:r>
        <w:t xml:space="preserve">“I’ll notice when my iced coffee won’t take any more sugar”</w:t>
      </w:r>
      <w:r>
        <w:t xml:space="preserve"> </w:t>
      </w:r>
      <w:r>
        <w:t xml:space="preserve">— rather than a generic</w:t>
      </w:r>
      <w:r>
        <w:t xml:space="preserve"> </w:t>
      </w:r>
      <w:r>
        <w:t xml:space="preserve">“solutions are cool.”</w:t>
      </w:r>
      <w:r>
        <w:t xml:space="preserve"> </w:t>
      </w:r>
      <w:r>
        <w:t xml:space="preserve">Naming a real kitchen or daily example signals transfer of the saturation concept.</w:t>
      </w:r>
    </w:p>
    <w:p>
      <w:pPr>
        <w:pStyle w:val="Compact"/>
        <w:numPr>
          <w:ilvl w:val="0"/>
          <w:numId w:val="1008"/>
        </w:numPr>
      </w:pPr>
      <w:r>
        <w:t xml:space="preserve">Students who name a partner or a specific moment (the scoop that wouldn’t dissolve, the sodium acetate crystallizing) as the thing that changed their thinking — this signals the hands-on, active-learning structure landed.</w:t>
      </w:r>
    </w:p>
    <w:p>
      <w:pPr>
        <w:pStyle w:val="Compact"/>
        <w:numPr>
          <w:ilvl w:val="0"/>
          <w:numId w:val="1008"/>
        </w:numPr>
      </w:pPr>
      <w:r>
        <w:t xml:space="preserve">Responses that connect the classification vocabulary to evidence (full = solid remains; overfull = crashes out) rather than to memorized definitions show the strongest understanding.</w:t>
      </w:r>
    </w:p>
    <w:p>
      <w:pPr>
        <w:pStyle w:val="FirstParagraph"/>
      </w:pPr>
      <w:r>
        <w:t xml:space="preserve">If a student writes that nothing connected or that saturated and supersaturated are</w:t>
      </w:r>
      <w:r>
        <w:t xml:space="preserve"> </w:t>
      </w:r>
      <w:r>
        <w:t xml:space="preserve">“the same,”</w:t>
      </w:r>
      <w:r>
        <w:t xml:space="preserve"> </w:t>
      </w:r>
      <w:r>
        <w:t xml:space="preserve">have a brief one-on-one before the next lesson: re-show the difference between leftover solid (saturated/full) and the seed-crystal crash-out (supersaturated/overfull). That single distinction is the lesson’s main conceptual hinge and the most common error on the Exit Ticket.</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2026-06-01T19:45:38Z</dcterms:created>
  <dcterms:modified xsi:type="dcterms:W3CDTF">2026-06-01T19:45:38Z</dcterms:modified>
</cp:coreProperties>
</file>

<file path=docProps/custom.xml><?xml version="1.0" encoding="utf-8"?>
<Properties xmlns="http://schemas.openxmlformats.org/officeDocument/2006/custom-properties" xmlns:vt="http://schemas.openxmlformats.org/officeDocument/2006/docPropsVTypes"/>
</file>