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8c21bb9f0477d6298b4d7e41ced9a9357c9b5f"/>
    <w:p>
      <w:pPr>
        <w:pStyle w:val="Heading1"/>
      </w:pPr>
      <w:r>
        <w:t xml:space="preserve">Precipitation — Soluble vs. Insoluble in Aqueous Solution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Solutions — Lesson 02: Precipitation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SEP-2 (Developing and Using Models) + CCC Patterns — foundational skill (no single content PE)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Pb(NO₃)₂(aq) + KI(aq):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ions present:</w:t>
      </w:r>
      <w:r>
        <w:t xml:space="preserve"> </w:t>
      </w:r>
      <w:r>
        <w:t xml:space="preserve">Pb²⁺, NO₃⁻, K⁺, I⁻.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new pairings (swap partners):</w:t>
      </w:r>
      <w:r>
        <w:t xml:space="preserve"> </w:t>
      </w:r>
      <w:r>
        <w:t xml:space="preserve">KNO₃ (K⁺ with NO₃⁻) and PbI₂ (Pb²⁺ with I⁻).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Soluble or insoluble:</w:t>
      </w:r>
      <w:r>
        <w:t xml:space="preserve"> </w:t>
      </w:r>
      <w:r>
        <w:t xml:space="preserve">KNO₃ is soluble (potassium is a Group 1 metal; nitrates are soluble). PbI₂ is insoluble (iodides are 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with Ag⁺, Pb²⁺, Hg₂²⁺ — lead is on the except list).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Precipitate:</w:t>
      </w:r>
      <w:r>
        <w:t xml:space="preserve"> </w:t>
      </w:r>
      <w:r>
        <w:t xml:space="preserve">PbI₂ (lead(II) iodide), the bright yellow solid. K⁺ and NO₃⁻ are spectator ions and stay dissolved.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swapping partners to get KNO₃ and PbI₂; 1 point for naming PbI₂ as the insoluble precipitate using the iodide-except rule. A student who names KNO₃ as the precipitate has reversed the soluble/insoluble logic — point them to the iodide rule. NYSSLS: SEP-2 / Patterns.</w:t>
      </w:r>
    </w:p>
    <w:p>
      <w:pPr>
        <w:pStyle w:val="BodyText"/>
      </w:pPr>
      <w:r>
        <w:rPr>
          <w:b/>
          <w:bCs/>
        </w:rPr>
        <w:t xml:space="preserve">2. Na₂CO₃(aq) + CaCl₂(aq):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ions present:</w:t>
      </w:r>
      <w:r>
        <w:t xml:space="preserve"> </w:t>
      </w:r>
      <w:r>
        <w:t xml:space="preserve">Na⁺, CO₃²⁻, Ca²⁺, Cl⁻.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new pairings (swap partners):</w:t>
      </w:r>
      <w:r>
        <w:t xml:space="preserve"> </w:t>
      </w:r>
      <w:r>
        <w:t xml:space="preserve">NaCl (Na⁺ with Cl⁻) and CaCO₃ (Ca²⁺ with CO₃²⁻).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Soluble or insoluble:</w:t>
      </w:r>
      <w:r>
        <w:t xml:space="preserve"> </w:t>
      </w:r>
      <w:r>
        <w:t xml:space="preserve">NaCl is soluble (sodium is Group 1; this chloride is not on the except list). CaCO₃ is insoluble (carbonates are insoluble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with Group 1 and NH₄⁺ — calcium is neither).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Precipitate:</w:t>
      </w:r>
      <w:r>
        <w:t xml:space="preserve"> </w:t>
      </w:r>
      <w:r>
        <w:t xml:space="preserve">CaCO₃ (calcium carbonate), a white solid. Na⁺ and Cl⁻ are spectators.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swap to NaCl and CaCO₃; 1 point for identifying CaCO₃ as insoluble via the carbonate rule. Common error: assuming</w:t>
      </w:r>
      <w:r>
        <w:t xml:space="preserve"> </w:t>
      </w:r>
      <w:r>
        <w:t xml:space="preserve">“anything with a metal precipitates”</w:t>
      </w:r>
      <w:r>
        <w:t xml:space="preserve"> </w:t>
      </w:r>
      <w:r>
        <w:t xml:space="preserve">— redirect to the rule that Group 1 and ammonium carbonates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soluble. NYSSLS: SEP-2 / Patterns.</w:t>
      </w:r>
    </w:p>
    <w:p>
      <w:pPr>
        <w:pStyle w:val="BodyText"/>
      </w:pPr>
      <w:r>
        <w:rPr>
          <w:b/>
          <w:bCs/>
        </w:rPr>
        <w:t xml:space="preserve">3. NaCl(aq) + KNO₃(aq):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Four ions present:</w:t>
      </w:r>
      <w:r>
        <w:t xml:space="preserve"> </w:t>
      </w:r>
      <w:r>
        <w:t xml:space="preserve">Na⁺, Cl⁻, K⁺, NO₃⁻.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new pairings (swap partners):</w:t>
      </w:r>
      <w:r>
        <w:t xml:space="preserve"> </w:t>
      </w:r>
      <w:r>
        <w:t xml:space="preserve">NaNO₃ (Na⁺ with NO₃⁻) and KCl (K⁺ with Cl⁻).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Soluble or insoluble:</w:t>
      </w:r>
      <w:r>
        <w:t xml:space="preserve"> </w:t>
      </w:r>
      <w:r>
        <w:t xml:space="preserve">NaNO₃ is soluble (Group 1 metal; nitrate). KCl is soluble (Group 1 metal; chloride not on the except list).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Precipitate:</w:t>
      </w:r>
      <w:r>
        <w:t xml:space="preserve"> </w:t>
      </w:r>
      <w:r>
        <w:t xml:space="preserve">none — both new pairings are soluble, so the mixture stays clear.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swap to NaNO₃ and KCl; 1 point for concluding</w:t>
      </w:r>
      <w:r>
        <w:t xml:space="preserve"> </w:t>
      </w:r>
      <w:r>
        <w:t xml:space="preserve">“no precipitate”</w:t>
      </w:r>
      <w:r>
        <w:t xml:space="preserve"> </w:t>
      </w:r>
      <w:r>
        <w:t xml:space="preserve">because both are soluble. A student who invents a precipitate here is not checking both pairings against the rules — full credit requires explicitly stating both are soluble. NYSSLS: SEP-2 / Patterns.</w:t>
      </w:r>
    </w:p>
    <w:p>
      <w:pPr>
        <w:pStyle w:val="BodyText"/>
      </w:pPr>
      <w:r>
        <w:rPr>
          <w:b/>
          <w:bCs/>
        </w:rPr>
        <w:t xml:space="preserve">Part 3 — Reading the solubility curve (Table G):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5"/>
        </w:numPr>
      </w:pPr>
      <w:r>
        <w:t xml:space="preserve">At 60 °C, KNO₃ ≈</w:t>
      </w:r>
      <w:r>
        <w:t xml:space="preserve"> </w:t>
      </w:r>
      <w:r>
        <w:rPr>
          <w:b/>
          <w:bCs/>
        </w:rPr>
        <w:t xml:space="preserve">110 g</w:t>
      </w:r>
      <w:r>
        <w:t xml:space="preserve"> </w:t>
      </w:r>
      <w:r>
        <w:t xml:space="preserve">per 100 g of water (accept 105–115 g).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6"/>
        </w:numPr>
      </w:pPr>
      <w:r>
        <w:t xml:space="preserve">At 60 °C, NaCl ≈</w:t>
      </w:r>
      <w:r>
        <w:t xml:space="preserve"> </w:t>
      </w:r>
      <w:r>
        <w:rPr>
          <w:b/>
          <w:bCs/>
        </w:rPr>
        <w:t xml:space="preserve">37 g</w:t>
      </w:r>
      <w:r>
        <w:t xml:space="preserve"> </w:t>
      </w:r>
      <w:r>
        <w:t xml:space="preserve">per 100 g of water (accept 36–38 g).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7"/>
        </w:numPr>
      </w:pPr>
      <w:r>
        <w:t xml:space="preserve">Sample full-credit response:</w:t>
      </w:r>
      <w:r>
        <w:t xml:space="preserve"> </w:t>
      </w:r>
      <w:r>
        <w:rPr>
          <w:i/>
          <w:iCs/>
        </w:rPr>
        <w:t xml:space="preserve">“Both curves are above zero, so both compounds dissolve and count as soluble — but the KNO₃ curve is far higher than the NaCl curve at 60 °C (about 110 g versus about 37 g), so</w:t>
      </w:r>
      <w:r>
        <w:rPr>
          <w:i/>
          <w:iCs/>
        </w:rPr>
        <w:t xml:space="preserve"> </w:t>
      </w:r>
      <w:r>
        <w:rPr>
          <w:i/>
          <w:iCs/>
        </w:rPr>
        <w:t xml:space="preserve">‘soluble’</w:t>
      </w:r>
      <w:r>
        <w:rPr>
          <w:i/>
          <w:iCs/>
        </w:rPr>
        <w:t xml:space="preserve"> </w:t>
      </w:r>
      <w:r>
        <w:rPr>
          <w:i/>
          <w:iCs/>
        </w:rPr>
        <w:t xml:space="preserve">tells you a compound dissolves, not how much.”</w:t>
      </w:r>
      <w:r>
        <w:t xml:space="preserve"> </w:t>
      </w:r>
      <w:r>
        <w:t xml:space="preserve">Any answer that uses the two curve heights to show soluble compounds dissolve in different amounts earns full credit.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each for the two readings within tolerance; 1 point for a sentence that contrasts the curve heights to explain that</w:t>
      </w:r>
      <w:r>
        <w:t xml:space="preserve"> </w:t>
      </w:r>
      <w:r>
        <w:t xml:space="preserve">“soluble”</w:t>
      </w:r>
      <w:r>
        <w:t xml:space="preserve"> </w:t>
      </w:r>
      <w:r>
        <w:t xml:space="preserve">is not a fixed amount. NYSSLS: SEP-2 / Patterns.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Classify each compound (solubility-guidelines table):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BaSO₄ (barium sulfate): insoluble.</w:t>
      </w:r>
      <w:r>
        <w:t xml:space="preserve"> </w:t>
      </w:r>
      <w:r>
        <w:t xml:space="preserve">Sulfates are 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with a short list of cations that includes Ba²⁺ (also Pb²⁺, Sr²⁺; Ca²⁺ is slightly soluble). Barium sulfate is the classic insoluble sulfate.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(NH₄)₂CO₃ (ammonium carbonate): soluble.</w:t>
      </w:r>
      <w:r>
        <w:t xml:space="preserve"> </w:t>
      </w:r>
      <w:r>
        <w:t xml:space="preserve">Carbonates are insoluble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with Group 1 metals and ammonium (NH₄⁺). Because the cation is ammonium, this carbonate is soluble.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each. For BaSO₄, the student must use the sulfate-except rule (not guess); for (NH₄)₂CO₃, they must apply the ammonium exception to the carbonate rule. A student who marks (NH₄)₂CO₃ insoluble has missed the ammonium exception — provide written feedback on the</w:t>
      </w:r>
      <w:r>
        <w:t xml:space="preserve"> </w:t>
      </w:r>
      <w:r>
        <w:t xml:space="preserve">“except Group 1 and NH₄⁺”</w:t>
      </w:r>
      <w:r>
        <w:t xml:space="preserve"> </w:t>
      </w:r>
      <w:r>
        <w:t xml:space="preserve">clause. NYSSLS: SEP-2 / Patterns.</w:t>
      </w:r>
    </w:p>
    <w:p>
      <w:pPr>
        <w:pStyle w:val="BodyText"/>
      </w:pPr>
      <w:r>
        <w:rPr>
          <w:b/>
          <w:bCs/>
        </w:rPr>
        <w:t xml:space="preserve">(b) AgNO₃(aq) + KCl(aq):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Two new pairings (swap partners):</w:t>
      </w:r>
      <w:r>
        <w:t xml:space="preserve"> </w:t>
      </w:r>
      <w:r>
        <w:t xml:space="preserve">AgCl (Ag⁺ with Cl⁻) and KNO₃ (K⁺ with NO₃⁻).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AgCl is insoluble</w:t>
      </w:r>
      <w:r>
        <w:t xml:space="preserve"> </w:t>
      </w:r>
      <w:r>
        <w:t xml:space="preserve">(chlorides are 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with Ag⁺, Pb²⁺, Hg₂²⁺ — silver is on the except list).</w:t>
      </w:r>
      <w:r>
        <w:t xml:space="preserve"> </w:t>
      </w:r>
      <w:r>
        <w:rPr>
          <w:b/>
          <w:bCs/>
        </w:rPr>
        <w:t xml:space="preserve">KNO₃ is soluble</w:t>
      </w:r>
      <w:r>
        <w:t xml:space="preserve"> </w:t>
      </w:r>
      <w:r>
        <w:t xml:space="preserve">(Group 1 metal; nitrate).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precipitate forms: AgCl (silver chloride), a white solid.</w:t>
      </w:r>
      <w:r>
        <w:t xml:space="preserve"> </w:t>
      </w:r>
      <w:r>
        <w:t xml:space="preserve">K⁺ and NO₃⁻ are spectator ions.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swapping partners to get AgCl and KNO₃; 1 point for naming AgCl as the precipitate via the chloride-except rule. Partial credit (1 point) for a correct swap with the wrong solubility conclusion. NYSSLS: SEP-2 / Patterns.</w:t>
      </w:r>
    </w:p>
    <w:p>
      <w:pPr>
        <w:pStyle w:val="BodyText"/>
      </w:pPr>
      <w:r>
        <w:rPr>
          <w:b/>
          <w:bCs/>
        </w:rPr>
        <w:t xml:space="preserve">(c) KNO₃ solubility at 40 °C from the Table G curve:</w:t>
      </w:r>
    </w:p>
    <w:p>
      <w:pPr>
        <w:pStyle w:val="Compact"/>
        <w:numPr>
          <w:ilvl w:val="0"/>
          <w:numId w:val="1012"/>
        </w:numPr>
      </w:pPr>
      <w:r>
        <w:t xml:space="preserve">About</w:t>
      </w:r>
      <w:r>
        <w:t xml:space="preserve"> </w:t>
      </w:r>
      <w:r>
        <w:rPr>
          <w:b/>
          <w:bCs/>
        </w:rPr>
        <w:t xml:space="preserve">64 g</w:t>
      </w:r>
      <w:r>
        <w:t xml:space="preserve"> </w:t>
      </w:r>
      <w:r>
        <w:t xml:space="preserve">of KNO₃ per 100 g of water (accept 60–68 g).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 reading within tolerance. A reading near the NaCl curve (~37 g) means the student read the wrong curve — remind them to follow the steeply rising purple KNO₃ curve, not the flat blue NaCl curve. NYSSLS: SEP-2 / Patterns.</w:t>
      </w:r>
    </w:p>
    <w:p>
      <w:pPr>
        <w:pStyle w:val="BodyText"/>
      </w:pPr>
      <w:r>
        <w:rPr>
          <w:i/>
          <w:iCs/>
        </w:rPr>
        <w:t xml:space="preserve">Note on transfer:</w:t>
      </w:r>
      <w:r>
        <w:t xml:space="preserve"> </w:t>
      </w:r>
      <w:r>
        <w:t xml:space="preserve">the Exit Ticket deliberately uses different compounds (BaSO₄, ammonium carbonate, the AgNO₃ + KCl pair) and a different temperature (40 °C) than the worksheet practice (PbI₂, CaCO₃, AgCl + NaCl; 60 °C reading). A student who succeeds here is applying the</w:t>
      </w:r>
      <w:r>
        <w:t xml:space="preserve"> </w:t>
      </w:r>
      <w:r>
        <w:rPr>
          <w:i/>
          <w:iCs/>
        </w:rPr>
        <w:t xml:space="preserve">rules and the curve</w:t>
      </w:r>
      <w:r>
        <w:t xml:space="preserve">, not recalling a memorized worksheet answer.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13"/>
        </w:numPr>
      </w:pPr>
      <w:r>
        <w:t xml:space="preserve">Any mention of the moment the pattern</w:t>
      </w:r>
      <w:r>
        <w:t xml:space="preserve"> </w:t>
      </w:r>
      <w:r>
        <w:t xml:space="preserve">“clicked”</w:t>
      </w:r>
      <w:r>
        <w:t xml:space="preserve"> </w:t>
      </w:r>
      <w:r>
        <w:t xml:space="preserve">in the Javalab data — students who name the realization that Group 1 ions and nitrates always stay dissolved are showing they extracted the pattern, not just memorized cases.</w:t>
      </w:r>
    </w:p>
    <w:p>
      <w:pPr>
        <w:pStyle w:val="Compact"/>
        <w:numPr>
          <w:ilvl w:val="0"/>
          <w:numId w:val="1013"/>
        </w:numPr>
      </w:pPr>
      <w:r>
        <w:t xml:space="preserve">Responses that use the appositive structure (</w:t>
      </w:r>
      <w:r>
        <w:t xml:space="preserve">“a precipitate — an insoluble solid — forms when…”</w:t>
      </w:r>
      <w:r>
        <w:t xml:space="preserve">) demonstrate the Hochman writing move from Phase 3 and Phase 4. Note these students as having integrated the vocabulary into active sentence structure.</w:t>
      </w:r>
    </w:p>
    <w:p>
      <w:pPr>
        <w:pStyle w:val="Compact"/>
        <w:numPr>
          <w:ilvl w:val="0"/>
          <w:numId w:val="1013"/>
        </w:numPr>
      </w:pPr>
      <w:r>
        <w:t xml:space="preserve">Students who name a partner who helped them catch a swap error (e.g., checking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new compounds, not just one) are signaling that the collaborative investigation supported their learning — evidence the partner structure is working.</w:t>
      </w:r>
    </w:p>
    <w:p>
      <w:pPr>
        <w:pStyle w:val="FirstParagraph"/>
      </w:pPr>
      <w:r>
        <w:t xml:space="preserve">If a student’s Exit Ticket shows a correct swap but the wrong soluble/insoluble call, the gap is in</w:t>
      </w:r>
      <w:r>
        <w:t xml:space="preserve"> </w:t>
      </w:r>
      <w:r>
        <w:rPr>
          <w:i/>
          <w:iCs/>
        </w:rPr>
        <w:t xml:space="preserve">reading the table</w:t>
      </w:r>
      <w:r>
        <w:t xml:space="preserve">, not the method — a brief table-reading check at the start of the next lesson should be sufficient. If a student does not swap partners at all (pairs each solution with itself), reteach the swap step before the next lesson builds on double-replacement reactions.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2026-06-01T19:45:39Z</dcterms:created>
  <dcterms:modified xsi:type="dcterms:W3CDTF">2026-06-01T19:45:39Z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