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f8b67faa024f6284b2029f88cc8a6ff97b2de7"/>
    <w:p>
      <w:pPr>
        <w:pStyle w:val="Heading1"/>
      </w:pPr>
      <w:r>
        <w:t xml:space="preserve">Precipitation — Soluble vs. Insoluble in Aqueous Solution — Student Notes</w:t>
      </w:r>
    </w:p>
    <w:p>
      <w:pPr>
        <w:pStyle w:val="FirstParagraph"/>
      </w:pPr>
      <w:r>
        <w:rPr>
          <w:b/>
          <w:bCs/>
        </w:rPr>
        <w:t xml:space="preserve">Unit: Solutions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Use a solubility-guidelines table to classify an ionic compound as</w:t>
      </w:r>
      <w:r>
        <w:t xml:space="preserve"> </w:t>
      </w:r>
      <w:r>
        <w:rPr>
          <w:b/>
          <w:bCs/>
        </w:rPr>
        <w:t xml:space="preserve">soluble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insoluble</w:t>
      </w:r>
      <w:r>
        <w:t xml:space="preserve"> </w:t>
      </w:r>
      <w:r>
        <w:t xml:space="preserve">in water.</w:t>
      </w:r>
    </w:p>
    <w:p>
      <w:pPr>
        <w:pStyle w:val="Compact"/>
        <w:numPr>
          <w:ilvl w:val="0"/>
          <w:numId w:val="1001"/>
        </w:numPr>
      </w:pPr>
      <w:r>
        <w:t xml:space="preserve">Predict whether mixing two aqueous solutions forms a</w:t>
      </w:r>
      <w:r>
        <w:t xml:space="preserve"> </w:t>
      </w:r>
      <w:r>
        <w:rPr>
          <w:b/>
          <w:bCs/>
        </w:rPr>
        <w:t xml:space="preserve">precipitate</w:t>
      </w:r>
      <w:r>
        <w:t xml:space="preserve">, and name which compound it is.</w:t>
      </w:r>
    </w:p>
    <w:p>
      <w:pPr>
        <w:pStyle w:val="Compact"/>
        <w:numPr>
          <w:ilvl w:val="0"/>
          <w:numId w:val="1001"/>
        </w:numPr>
      </w:pPr>
      <w:r>
        <w:t xml:space="preserve">Model, at the particle level, where a precipitate comes from: reacting ions leaving solution while spectator ions stay dissolved.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a solubility table lets me predict an outcome without memorizing every reaction.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soluble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insoluble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precipitate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Whether two solutions form a solid is not random. It follows a __________ you read from the solubility table. The same rules apply to every cation–anion pairing, so one __________ replaces memorizing dozens of separate reactions.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“dissolved”</w:t>
      </w:r>
      <w:r>
        <w:rPr>
          <w:b/>
          <w:bCs/>
        </w:rPr>
        <w:t xml:space="preserve"> </w:t>
      </w:r>
      <w:r>
        <w:rPr>
          <w:b/>
          <w:bCs/>
        </w:rPr>
        <w:t xml:space="preserve">really means:</w:t>
      </w:r>
      <w:r>
        <w:t xml:space="preserve"> </w:t>
      </w:r>
      <w:r>
        <w:t xml:space="preserve">When an ionic compound dissolves, it does not disappear — it breaks apart into free __________ that spread through the water. A clear solution is full of invisible, dissolved ions. KI(aq) is full of __________ and __________ ions; Pb(NO₃)₂(aq) is full of __________ and __________ ions.</w:t>
      </w:r>
    </w:p>
    <w:p>
      <w:pPr>
        <w:pStyle w:val="BodyText"/>
      </w:pPr>
      <w:r>
        <w:rPr>
          <w:b/>
          <w:bCs/>
        </w:rPr>
        <w:t xml:space="preserve">Why a solid forms:</w:t>
      </w:r>
      <w:r>
        <w:t xml:space="preserve"> </w:t>
      </w:r>
      <w:r>
        <w:t xml:space="preserve">When two solutions are mixed, all the ions share one beaker. If one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cation–anion pairing is __________, those ions lock into a solid that drops out of the liquid. That solid is the __________. The ions that start and end dissolved are called __________ ions.</w:t>
      </w:r>
    </w:p>
    <w:p>
      <w:pPr>
        <w:pStyle w:val="BodyText"/>
      </w:pPr>
      <w:r>
        <w:rPr>
          <w:b/>
          <w:bCs/>
        </w:rPr>
        <w:t xml:space="preserve">The four-step method (use it every time):</w:t>
      </w:r>
    </w:p>
    <w:p>
      <w:pPr>
        <w:pStyle w:val="Compact"/>
        <w:numPr>
          <w:ilvl w:val="0"/>
          <w:numId w:val="1003"/>
        </w:numPr>
      </w:pPr>
      <w:r>
        <w:t xml:space="preserve">Identify the __________ ions present.</w:t>
      </w:r>
    </w:p>
    <w:p>
      <w:pPr>
        <w:pStyle w:val="Compact"/>
        <w:numPr>
          <w:ilvl w:val="0"/>
          <w:numId w:val="1003"/>
        </w:numPr>
      </w:pPr>
      <w:r>
        <w:t xml:space="preserve">__________ partners to get two possible new compounds.</w:t>
      </w:r>
    </w:p>
    <w:p>
      <w:pPr>
        <w:pStyle w:val="Compact"/>
        <w:numPr>
          <w:ilvl w:val="0"/>
          <w:numId w:val="1003"/>
        </w:numPr>
      </w:pPr>
      <w:r>
        <w:t xml:space="preserve">Check each new compound on the solubility __________.</w:t>
      </w:r>
    </w:p>
    <w:p>
      <w:pPr>
        <w:pStyle w:val="Compact"/>
        <w:numPr>
          <w:ilvl w:val="0"/>
          <w:numId w:val="1003"/>
        </w:numPr>
      </w:pPr>
      <w:r>
        <w:t xml:space="preserve">If one is insoluble → that is the __________. If both are soluble → __________ forms.</w:t>
      </w:r>
    </w:p>
    <w:p>
      <w:pPr>
        <w:pStyle w:val="FirstParagraph"/>
      </w:pPr>
      <w:r>
        <w:rPr>
          <w:b/>
          <w:bCs/>
        </w:rPr>
        <w:t xml:space="preserve">Today’s solubility rules (from the Reference Tables):</w:t>
      </w:r>
    </w:p>
    <w:p>
      <w:pPr>
        <w:pStyle w:val="Compact"/>
        <w:numPr>
          <w:ilvl w:val="0"/>
          <w:numId w:val="1004"/>
        </w:numPr>
      </w:pPr>
      <w:r>
        <w:t xml:space="preserve">Group 1 metals (Li⁺, Na⁺, K⁺, …) and ammonium (NH₄⁺): always __________</w:t>
      </w:r>
    </w:p>
    <w:p>
      <w:pPr>
        <w:pStyle w:val="Compact"/>
        <w:numPr>
          <w:ilvl w:val="0"/>
          <w:numId w:val="1004"/>
        </w:numPr>
      </w:pPr>
      <w:r>
        <w:t xml:space="preserve">Nitrates (NO₃⁻): always __________</w:t>
      </w:r>
    </w:p>
    <w:p>
      <w:pPr>
        <w:pStyle w:val="Compact"/>
        <w:numPr>
          <w:ilvl w:val="0"/>
          <w:numId w:val="1004"/>
        </w:numPr>
      </w:pPr>
      <w:r>
        <w:t xml:space="preserve">Chlorides (Cl⁻): soluble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with __________, __________, Hg₂²⁺</w:t>
      </w:r>
    </w:p>
    <w:p>
      <w:pPr>
        <w:pStyle w:val="Compact"/>
        <w:numPr>
          <w:ilvl w:val="0"/>
          <w:numId w:val="1004"/>
        </w:numPr>
      </w:pPr>
      <w:r>
        <w:t xml:space="preserve">Iodides (I⁻): soluble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with __________, __________, Hg₂²⁺</w:t>
      </w:r>
    </w:p>
    <w:p>
      <w:pPr>
        <w:pStyle w:val="Compact"/>
        <w:numPr>
          <w:ilvl w:val="0"/>
          <w:numId w:val="1004"/>
        </w:numPr>
      </w:pPr>
      <w:r>
        <w:t xml:space="preserve">Carbonates (CO₃²⁻): __________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with Group 1 and NH₄⁺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A precipitate — _________________________________________ — appears only when _________________________.</w:t>
      </w:r>
    </w:p>
    <w:p>
      <w:pPr>
        <w:pStyle w:val="FirstParagraph"/>
      </w:pPr>
      <w:r>
        <w:rPr>
          <w:b/>
          <w:bCs/>
        </w:rPr>
        <w:t xml:space="preserve">The particle model — where the solid comes from:</w:t>
      </w:r>
    </w:p>
    <w:p>
      <w:pPr>
        <w:pStyle w:val="CaptionedFigure"/>
      </w:pPr>
      <w:r>
        <w:drawing>
          <wp:inline>
            <wp:extent cx="5791200" cy="3096768"/>
            <wp:effectExtent b="0" l="0" r="0" t="0"/>
            <wp:docPr descr="Two-panel particle model of a precipitation reaction. The left panel, ‘Just mixed: ions move freely’, shows free purple Pb²⁺, orange I⁻, blue K⁺, and green NO₃⁻ ions dispersed in solution. The right panel, ‘Precipitate forms: PbI₂ solid’, shows blue K⁺ and green NO₃⁻ still dissolved as spectators while purple Pb²⁺ and orange I⁻ are bonded into a solid lattice that settles. An arrow points from left to right." title="" id="12" name="Picture"/>
            <a:graphic>
              <a:graphicData uri="http://schemas.openxmlformats.org/drawingml/2006/picture">
                <pic:pic>
                  <pic:nvPicPr>
                    <pic:cNvPr descr="figures/precipitation_particle_mode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9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particle model of a precipitation reaction. The left panel,</w:t>
      </w:r>
      <w:r>
        <w:t xml:space="preserve"> </w:t>
      </w:r>
      <w:r>
        <w:t xml:space="preserve">‘Just mixed: ions move freely’</w:t>
      </w:r>
      <w:r>
        <w:t xml:space="preserve">, shows free purple Pb²⁺, orange I⁻, blue K⁺, and green NO₃⁻ ions dispersed in solution. The right panel,</w:t>
      </w:r>
      <w:r>
        <w:t xml:space="preserve"> </w:t>
      </w:r>
      <w:r>
        <w:t xml:space="preserve">‘Precipitate forms: PbI₂ solid’</w:t>
      </w:r>
      <w:r>
        <w:t xml:space="preserve">, shows blue K⁺ and green NO₃⁻ still dissolved as spectators while purple Pb²⁺ and orange I⁻ are bonded into a solid lattice that settles. An arrow points from left to right.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5"/>
        </w:numPr>
      </w:pPr>
      <w:r>
        <w:t xml:space="preserve">The two ions that form the solid: __________ and __________</w:t>
      </w:r>
    </w:p>
    <w:p>
      <w:pPr>
        <w:pStyle w:val="Compact"/>
        <w:numPr>
          <w:ilvl w:val="0"/>
          <w:numId w:val="1005"/>
        </w:numPr>
      </w:pPr>
      <w:r>
        <w:t xml:space="preserve">The two ions that stay dissolved (spectators): __________ and __________</w:t>
      </w:r>
    </w:p>
    <w:p>
      <w:pPr>
        <w:pStyle w:val="Compact"/>
        <w:numPr>
          <w:ilvl w:val="0"/>
          <w:numId w:val="1005"/>
        </w:numPr>
      </w:pPr>
      <w:r>
        <w:t xml:space="preserve">Did any new atom appear that was not present before mixing? __________</w:t>
      </w:r>
    </w:p>
    <w:p>
      <w:pPr>
        <w:pStyle w:val="FirstParagraph"/>
      </w:pPr>
      <w:r>
        <w:rPr>
          <w:b/>
          <w:bCs/>
        </w:rPr>
        <w:t xml:space="preserve">The solubility curve —</w:t>
      </w:r>
      <w:r>
        <w:rPr>
          <w:b/>
          <w:bCs/>
        </w:rPr>
        <w:t xml:space="preserve"> </w:t>
      </w:r>
      <w:r>
        <w:rPr>
          <w:b/>
          <w:bCs/>
        </w:rPr>
        <w:t xml:space="preserve">“soluble”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all-or-nothing:</w:t>
      </w:r>
    </w:p>
    <w:p>
      <w:pPr>
        <w:pStyle w:val="CaptionedFigure"/>
      </w:pPr>
      <w:r>
        <w:drawing>
          <wp:inline>
            <wp:extent cx="4700016" cy="3206496"/>
            <wp:effectExtent b="0" l="0" r="0" t="0"/>
            <wp:docPr descr="Line graph ‘Solubility vs. Temperature (Reference Table G)’: a steeply rising purple KNO₃ curve, a nearly flat blue NaCl curve near 36 to 39, and a gradually rising orange KClO₃ curve, with temperature in degrees Celsius on the x-axis and grams of solute per 100 grams of water on the y-axis." title="" id="15" name="Picture"/>
            <a:graphic>
              <a:graphicData uri="http://schemas.openxmlformats.org/drawingml/2006/picture">
                <pic:pic>
                  <pic:nvPicPr>
                    <pic:cNvPr descr="figures/solubility_curv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</w:t>
      </w:r>
      <w:r>
        <w:t xml:space="preserve"> </w:t>
      </w:r>
      <w:r>
        <w:t xml:space="preserve">‘Solubility vs. Temperature (Reference Table G)’</w:t>
      </w:r>
      <w:r>
        <w:t xml:space="preserve">: a steeply rising purple KNO₃ curve, a nearly flat blue NaCl curve near 36 to 39, and a gradually rising orange KClO₃ curve, with temperature in degrees Celsius on the x-axis and grams of solute per 100 grams of water on the y-axis.</w:t>
      </w:r>
    </w:p>
    <w:p>
      <w:pPr>
        <w:pStyle w:val="Compact"/>
        <w:numPr>
          <w:ilvl w:val="0"/>
          <w:numId w:val="1006"/>
        </w:numPr>
      </w:pPr>
      <w:r>
        <w:t xml:space="preserve">At 60 °C, KNO₃ dissolves about ______ g / 100 g water; NaCl dissolves about ______ g / 100 g water.</w:t>
      </w:r>
    </w:p>
    <w:p>
      <w:pPr>
        <w:pStyle w:val="Compact"/>
        <w:numPr>
          <w:ilvl w:val="0"/>
          <w:numId w:val="1006"/>
        </w:numPr>
      </w:pPr>
      <w:r>
        <w:t xml:space="preserve">Both are soluble, but they do not dissolve the same amount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mixes silver nitrate solution, AgNO₃(aq), with sodium chloride solution, NaCl(aq). Does a precipitate form?</w:t>
      </w:r>
    </w:p>
    <w:p>
      <w:pPr>
        <w:pStyle w:val="BodyText"/>
      </w:pPr>
      <w:r>
        <w:rPr>
          <w:b/>
          <w:bCs/>
        </w:rPr>
        <w:t xml:space="preserve">Step 1 — Identify the four ions:</w:t>
      </w:r>
    </w:p>
    <w:p>
      <w:pPr>
        <w:pStyle w:val="BodyText"/>
      </w:pPr>
      <w:r>
        <w:t xml:space="preserve">From AgNO₃: __________ and __________ From NaCl: __________ and __________</w:t>
      </w:r>
    </w:p>
    <w:p>
      <w:pPr>
        <w:pStyle w:val="BodyText"/>
      </w:pPr>
      <w:r>
        <w:rPr>
          <w:b/>
          <w:bCs/>
        </w:rPr>
        <w:t xml:space="preserve">Step 2 — Swap partners (two new possible compounds):</w:t>
      </w:r>
    </w:p>
    <w:p>
      <w:pPr>
        <w:pStyle w:val="BodyText"/>
      </w:pPr>
      <w:r>
        <w:t xml:space="preserve">__________ (cation from AgNO₃ + anion from NaCl) and __________ (cation from NaCl + anion from AgNO₃)</w:t>
      </w:r>
    </w:p>
    <w:p>
      <w:pPr>
        <w:pStyle w:val="BodyText"/>
      </w:pPr>
      <w:r>
        <w:rPr>
          <w:b/>
          <w:bCs/>
        </w:rPr>
        <w:t xml:space="preserve">Step 3 — Check each on the solubility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compound</w:t>
            </w:r>
          </w:p>
        </w:tc>
        <w:tc>
          <w:tcPr/>
          <w:p>
            <w:pPr>
              <w:pStyle w:val="Compact"/>
            </w:pPr>
            <w:r>
              <w:t xml:space="preserve">Rule that applies</w:t>
            </w:r>
          </w:p>
        </w:tc>
        <w:tc>
          <w:tcPr/>
          <w:p>
            <w:pPr>
              <w:pStyle w:val="Compact"/>
            </w:pPr>
            <w:r>
              <w:t xml:space="preserve">Soluble or insoluble?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AgCl</w:t>
            </w:r>
          </w:p>
        </w:tc>
        <w:tc>
          <w:tcPr/>
          <w:p>
            <w:pPr>
              <w:pStyle w:val="Compact"/>
            </w:pPr>
            <w:r>
              <w:t xml:space="preserve">chlorides soluble except Ag⁺, Pb²⁺, Hg₂²⁺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NaNO₃</w:t>
            </w:r>
          </w:p>
        </w:tc>
        <w:tc>
          <w:tcPr/>
          <w:p>
            <w:pPr>
              <w:pStyle w:val="Compact"/>
            </w:pPr>
            <w:r>
              <w:t xml:space="preserve">Group 1 metals soluble; nitrates soluble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Conclusion:</w:t>
      </w:r>
    </w:p>
    <w:p>
      <w:pPr>
        <w:pStyle w:val="BodyText"/>
      </w:pPr>
      <w:r>
        <w:t xml:space="preserve">The precipitate is __________ because it is the insoluble pairing. The spectator ions __________ and __________ stay dissolved.</w:t>
      </w:r>
    </w:p>
    <w:p>
      <w:pPr>
        <w:pStyle w:val="BodyText"/>
      </w:pPr>
      <w:r>
        <w:rPr>
          <w:b/>
          <w:bCs/>
        </w:rPr>
        <w:t xml:space="preserve">Step 5 — Appositive sentence:</w:t>
      </w:r>
    </w:p>
    <w:p>
      <w:pPr>
        <w:pStyle w:val="BodyText"/>
      </w:pPr>
      <w:r>
        <w:t xml:space="preserve">Silver chloride — _________________________________________ — forms when Ag⁺ and Cl⁻ ions meet in solution.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Mixing AgNO₃ with NaCl forms a precipitate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insoluble pairing;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other new compound is soluble;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name the precipitate.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A precipitate — _________________________________________ — appears only when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Mixing two clear solutions can form a solid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Always</w:t>
      </w:r>
      <w:r>
        <w:t xml:space="preserve"> </w:t>
      </w:r>
      <w:r>
        <w:rPr>
          <w:b/>
          <w:bCs/>
        </w:rPr>
        <w:t xml:space="preserve">swap partners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new compounds on the table. A precipitate forms only when at least one new pairing is</w:t>
      </w:r>
      <w:r>
        <w:t xml:space="preserve"> </w:t>
      </w:r>
      <w:r>
        <w:rPr>
          <w:b/>
          <w:bCs/>
        </w:rPr>
        <w:t xml:space="preserve">insoluble</w:t>
      </w:r>
      <w:r>
        <w:t xml:space="preserve">. If both are soluble, the solution stays clear.</w:t>
      </w:r>
    </w:p>
    <w:p>
      <w:pPr>
        <w:pStyle w:val="BodyText"/>
      </w:pPr>
      <w:r>
        <w:rPr>
          <w:b/>
          <w:bCs/>
        </w:rPr>
        <w:t xml:space="preserve">Key reference (from the NYS Reference Tables):</w:t>
      </w:r>
      <w:r>
        <w:t xml:space="preserve"> </w:t>
      </w:r>
      <w:r>
        <w:t xml:space="preserve">Solubility guidelines: Reference Table F (which ion pairs are soluble vs. insoluble)</w:t>
      </w:r>
      <w:r>
        <w:t xml:space="preserve"> </w:t>
      </w:r>
      <w:r>
        <w:t xml:space="preserve">Solubility curves (g solute / 100 g H₂O vs. temperature): Reference Table G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2026-06-01T19:45:39Z</dcterms:created>
  <dcterms:modified xsi:type="dcterms:W3CDTF">2026-06-01T19:45:39Z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